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5BC3" w14:textId="77777777" w:rsidR="0065453C" w:rsidRPr="00420CDA" w:rsidRDefault="0065453C" w:rsidP="0065453C">
      <w:pPr>
        <w:pStyle w:val="Title"/>
        <w:jc w:val="center"/>
        <w:rPr>
          <w:b/>
          <w:bCs/>
          <w:sz w:val="48"/>
          <w:szCs w:val="48"/>
        </w:rPr>
      </w:pPr>
      <w:proofErr w:type="gramStart"/>
      <w:r w:rsidRPr="00420CDA">
        <w:rPr>
          <w:b/>
          <w:bCs/>
          <w:sz w:val="48"/>
          <w:szCs w:val="48"/>
        </w:rPr>
        <w:t>YES</w:t>
      </w:r>
      <w:proofErr w:type="gramEnd"/>
      <w:r w:rsidRPr="00420CDA">
        <w:rPr>
          <w:b/>
          <w:bCs/>
          <w:sz w:val="48"/>
          <w:szCs w:val="48"/>
        </w:rPr>
        <w:t xml:space="preserve"> Prep Public Schools</w:t>
      </w:r>
    </w:p>
    <w:p w14:paraId="51B5456B" w14:textId="77777777" w:rsidR="0065453C" w:rsidRPr="00420CDA" w:rsidRDefault="0065453C" w:rsidP="0065453C">
      <w:pPr>
        <w:pStyle w:val="Title"/>
        <w:jc w:val="center"/>
        <w:rPr>
          <w:b/>
          <w:bCs/>
          <w:sz w:val="48"/>
          <w:szCs w:val="48"/>
        </w:rPr>
      </w:pPr>
      <w:r w:rsidRPr="00420CDA">
        <w:rPr>
          <w:b/>
          <w:bCs/>
          <w:sz w:val="48"/>
          <w:szCs w:val="48"/>
        </w:rPr>
        <w:t>RFP#YESP2022-02 – Managed Direct Internet Access</w:t>
      </w:r>
    </w:p>
    <w:p w14:paraId="19A7F54C" w14:textId="3100CEC3" w:rsidR="00D15202" w:rsidRDefault="00D15202" w:rsidP="00D15202">
      <w:pPr>
        <w:pStyle w:val="Heading1"/>
      </w:pPr>
      <w:r>
        <w:t>Purpose</w:t>
      </w:r>
    </w:p>
    <w:p w14:paraId="1591268B" w14:textId="08A3878B" w:rsidR="004532F5" w:rsidRPr="00D17B0A" w:rsidRDefault="004532F5" w:rsidP="004532F5">
      <w:r w:rsidRPr="00332889">
        <w:t xml:space="preserve">The </w:t>
      </w:r>
      <w:r>
        <w:t xml:space="preserve">purpose of this project is to provide </w:t>
      </w:r>
      <w:r w:rsidR="006D096B">
        <w:t xml:space="preserve">YES Prep Public Schools </w:t>
      </w:r>
      <w:r w:rsidR="00E46C00">
        <w:t>Direct Internet Access (DIA)</w:t>
      </w:r>
      <w:r w:rsidRPr="6E40B531">
        <w:t xml:space="preserve"> </w:t>
      </w:r>
      <w:r w:rsidR="1C9841A6" w:rsidRPr="71081B3E">
        <w:t xml:space="preserve">with </w:t>
      </w:r>
      <w:r w:rsidR="4990D54C" w:rsidRPr="17565082">
        <w:t>transport</w:t>
      </w:r>
      <w:r w:rsidR="00E46C00">
        <w:t xml:space="preserve"> for students</w:t>
      </w:r>
      <w:r w:rsidR="00CE1C57">
        <w:t xml:space="preserve"> </w:t>
      </w:r>
      <w:r w:rsidR="00E46C00">
        <w:t>at</w:t>
      </w:r>
      <w:r w:rsidR="00CE1C57">
        <w:t xml:space="preserve"> each of YES Prep’s locations</w:t>
      </w:r>
      <w:r>
        <w:t>.  The goal is to have purpose specific segmented network internal to the campus as well as egress to the internet and data center.</w:t>
      </w:r>
      <w:r w:rsidR="003E315E">
        <w:t xml:space="preserve"> </w:t>
      </w:r>
    </w:p>
    <w:p w14:paraId="6676F4B3" w14:textId="5E98100A" w:rsidR="004532F5" w:rsidRDefault="004532F5" w:rsidP="00D15202">
      <w:pPr>
        <w:pStyle w:val="Heading1"/>
      </w:pPr>
      <w:r>
        <w:t xml:space="preserve">Summary </w:t>
      </w:r>
    </w:p>
    <w:p w14:paraId="0AAC47F9" w14:textId="5FA590FE" w:rsidR="004532F5" w:rsidRPr="004532F5" w:rsidRDefault="004350BD" w:rsidP="004532F5">
      <w:bookmarkStart w:id="0" w:name="_Hlk92097745"/>
      <w:r>
        <w:t>We are seeking</w:t>
      </w:r>
      <w:r w:rsidR="006D46B6">
        <w:t xml:space="preserve"> a </w:t>
      </w:r>
      <w:r w:rsidR="006D46B6" w:rsidRPr="07068E6B">
        <w:rPr>
          <w:b/>
          <w:bCs/>
        </w:rPr>
        <w:t>3</w:t>
      </w:r>
      <w:r w:rsidR="00ED56DD" w:rsidRPr="07068E6B">
        <w:rPr>
          <w:b/>
          <w:bCs/>
        </w:rPr>
        <w:t>-</w:t>
      </w:r>
      <w:r w:rsidR="006D46B6" w:rsidRPr="07068E6B">
        <w:rPr>
          <w:b/>
          <w:bCs/>
        </w:rPr>
        <w:t>year term (36 month)</w:t>
      </w:r>
      <w:r w:rsidR="00300EB0" w:rsidRPr="07068E6B">
        <w:rPr>
          <w:b/>
          <w:bCs/>
        </w:rPr>
        <w:t xml:space="preserve"> contract</w:t>
      </w:r>
      <w:r w:rsidR="00300EB0">
        <w:t xml:space="preserve"> </w:t>
      </w:r>
      <w:r w:rsidR="00D61174">
        <w:t>with option</w:t>
      </w:r>
      <w:r w:rsidR="44A71BC2">
        <w:t xml:space="preserve">al 2 x </w:t>
      </w:r>
      <w:r w:rsidR="6A4303E5">
        <w:t>1-year</w:t>
      </w:r>
      <w:r w:rsidR="44A71BC2">
        <w:t xml:space="preserve"> r</w:t>
      </w:r>
      <w:r w:rsidR="00D61174">
        <w:t>enew</w:t>
      </w:r>
      <w:r w:rsidR="6A0E7E7F">
        <w:t>als</w:t>
      </w:r>
      <w:r w:rsidR="00D61174">
        <w:t xml:space="preserve"> </w:t>
      </w:r>
      <w:r w:rsidR="00300EB0">
        <w:t>for</w:t>
      </w:r>
      <w:r>
        <w:t xml:space="preserve"> direct internet access circuit services for </w:t>
      </w:r>
      <w:r w:rsidR="00CE1C57">
        <w:t xml:space="preserve">each of </w:t>
      </w:r>
      <w:r>
        <w:t xml:space="preserve">the </w:t>
      </w:r>
      <w:r w:rsidR="00F8212C">
        <w:t>campuse</w:t>
      </w:r>
      <w:r>
        <w:t xml:space="preserve">s referenced below. </w:t>
      </w:r>
    </w:p>
    <w:p w14:paraId="560354F0" w14:textId="77777777" w:rsidR="0065453C" w:rsidRDefault="0065453C" w:rsidP="0065453C">
      <w:pPr>
        <w:pStyle w:val="Heading1"/>
      </w:pPr>
      <w:bookmarkStart w:id="1" w:name="_Hlk93995764"/>
      <w:bookmarkEnd w:id="0"/>
      <w:r w:rsidRPr="00260BB9">
        <w:t>Submission Specifics</w:t>
      </w:r>
    </w:p>
    <w:p w14:paraId="58DE4BE2" w14:textId="77777777" w:rsidR="0065453C" w:rsidRPr="00420CDA" w:rsidRDefault="0065453C" w:rsidP="0065453C">
      <w:pPr>
        <w:pStyle w:val="NoSpacing"/>
        <w:keepNext/>
        <w:keepLines/>
        <w:rPr>
          <w:b/>
          <w:bCs/>
          <w:u w:val="single"/>
        </w:rPr>
      </w:pPr>
      <w:r w:rsidRPr="00420CDA">
        <w:t xml:space="preserve">For a bid to be considered it will be sent in a sealed envelope (1) hardcopy and (1) electronic copy via USB. To respond, mark SEALED envelope </w:t>
      </w:r>
      <w:r w:rsidRPr="00420CDA">
        <w:rPr>
          <w:b/>
          <w:bCs/>
        </w:rPr>
        <w:t>RFP#YESP2022-02 Managed Direct Internet Access</w:t>
      </w:r>
      <w:r w:rsidRPr="00420CDA">
        <w:t xml:space="preserve"> and submit to YES Prep Purchasing Office address by</w:t>
      </w:r>
      <w:r w:rsidRPr="00420CDA">
        <w:rPr>
          <w:b/>
          <w:bCs/>
          <w:u w:val="single"/>
        </w:rPr>
        <w:t xml:space="preserve"> 2:00 PM local time Wednesday, February 23</w:t>
      </w:r>
      <w:r w:rsidRPr="00420CDA">
        <w:rPr>
          <w:b/>
          <w:bCs/>
          <w:u w:val="single"/>
          <w:vertAlign w:val="superscript"/>
        </w:rPr>
        <w:t>rd</w:t>
      </w:r>
      <w:proofErr w:type="gramStart"/>
      <w:r w:rsidRPr="00420CDA">
        <w:rPr>
          <w:b/>
          <w:bCs/>
          <w:u w:val="single"/>
        </w:rPr>
        <w:t xml:space="preserve"> 2022</w:t>
      </w:r>
      <w:proofErr w:type="gramEnd"/>
      <w:r w:rsidRPr="00420CDA">
        <w:rPr>
          <w:b/>
          <w:bCs/>
          <w:u w:val="single"/>
        </w:rPr>
        <w:t>. Proposals should be delivered to:</w:t>
      </w:r>
    </w:p>
    <w:p w14:paraId="63120EFE" w14:textId="77777777" w:rsidR="0065453C" w:rsidRPr="00420CDA" w:rsidRDefault="0065453C" w:rsidP="0065453C">
      <w:pPr>
        <w:pStyle w:val="NoSpacing"/>
        <w:ind w:left="1080"/>
      </w:pPr>
      <w:proofErr w:type="gramStart"/>
      <w:r w:rsidRPr="00420CDA">
        <w:t>YES</w:t>
      </w:r>
      <w:proofErr w:type="gramEnd"/>
      <w:r w:rsidRPr="00420CDA">
        <w:t xml:space="preserve"> Prep Public School</w:t>
      </w:r>
    </w:p>
    <w:p w14:paraId="46D603B5" w14:textId="77777777" w:rsidR="0065453C" w:rsidRPr="00420CDA" w:rsidRDefault="0065453C" w:rsidP="0065453C">
      <w:pPr>
        <w:pStyle w:val="NoSpacing"/>
        <w:ind w:left="1080"/>
      </w:pPr>
      <w:r w:rsidRPr="00420CDA">
        <w:t>Attention: Kerem Kutuk, Purchasing Director</w:t>
      </w:r>
    </w:p>
    <w:p w14:paraId="1B592400" w14:textId="77777777" w:rsidR="0065453C" w:rsidRPr="00420CDA" w:rsidRDefault="0065453C" w:rsidP="0065453C">
      <w:pPr>
        <w:pStyle w:val="NoSpacing"/>
        <w:ind w:left="1080"/>
      </w:pPr>
      <w:r w:rsidRPr="00420CDA">
        <w:t xml:space="preserve">5455 South Loop East </w:t>
      </w:r>
    </w:p>
    <w:p w14:paraId="45C6E765" w14:textId="77777777" w:rsidR="0065453C" w:rsidRPr="00420CDA" w:rsidRDefault="0065453C" w:rsidP="0065453C">
      <w:pPr>
        <w:pStyle w:val="NoSpacing"/>
        <w:ind w:left="1080"/>
      </w:pPr>
      <w:r w:rsidRPr="00420CDA">
        <w:t>Houston, TX 77033</w:t>
      </w:r>
    </w:p>
    <w:p w14:paraId="7AA7EDE5" w14:textId="77777777" w:rsidR="0065453C" w:rsidRPr="00420CDA" w:rsidRDefault="0065453C" w:rsidP="0065453C">
      <w:pPr>
        <w:pStyle w:val="NoSpacing"/>
        <w:ind w:left="1080"/>
      </w:pPr>
    </w:p>
    <w:p w14:paraId="175E7317" w14:textId="77777777" w:rsidR="0065453C" w:rsidRPr="00420CDA" w:rsidRDefault="0065453C" w:rsidP="0065453C">
      <w:pPr>
        <w:pStyle w:val="NoSpacing"/>
        <w:keepNext/>
        <w:keepLines/>
      </w:pPr>
      <w:r w:rsidRPr="00420CDA">
        <w:t>Please complete and return the attachment package and Proposal with (1) hardcopy and (1) electronic copy via USB. An authorized company representative should sign the attachment package. Completion of the attachment package is intended to verify that the offeror has submitted the proposal along with the required documents, is familiar with its contents and has submitted the material in accordance with all requirements.</w:t>
      </w:r>
    </w:p>
    <w:p w14:paraId="1D71E770" w14:textId="77777777" w:rsidR="0065453C" w:rsidRPr="00420CDA" w:rsidRDefault="0065453C" w:rsidP="0065453C">
      <w:pPr>
        <w:pStyle w:val="NoSpacing"/>
        <w:keepNext/>
        <w:keepLines/>
      </w:pPr>
    </w:p>
    <w:p w14:paraId="35C8825D" w14:textId="77777777" w:rsidR="0065453C" w:rsidRPr="00420CDA" w:rsidRDefault="0065453C" w:rsidP="0065453C">
      <w:pPr>
        <w:pStyle w:val="NoSpacing"/>
        <w:keepNext/>
        <w:keepLines/>
        <w:rPr>
          <w:rFonts w:eastAsiaTheme="minorEastAsia"/>
        </w:rPr>
      </w:pPr>
      <w:r w:rsidRPr="00420CDA">
        <w:t xml:space="preserve">All documents related to this request for services can be found in the E-Rate Portal: https://www.usac.org/e-rate/resources/e-rate-productivity-center/ </w:t>
      </w:r>
    </w:p>
    <w:p w14:paraId="683DF8FB" w14:textId="77777777" w:rsidR="0065453C" w:rsidRPr="00420CDA" w:rsidRDefault="0065453C" w:rsidP="0065453C">
      <w:pPr>
        <w:pStyle w:val="NoSpacing"/>
        <w:keepNext/>
        <w:keepLines/>
      </w:pPr>
    </w:p>
    <w:p w14:paraId="2C85B52A" w14:textId="77777777" w:rsidR="0065453C" w:rsidRPr="006E73CF" w:rsidRDefault="0065453C" w:rsidP="0065453C">
      <w:pPr>
        <w:pStyle w:val="NoSpacing"/>
        <w:keepNext/>
        <w:keepLines/>
        <w:rPr>
          <w:rFonts w:eastAsiaTheme="minorEastAsia"/>
        </w:rPr>
      </w:pPr>
      <w:r w:rsidRPr="00420CDA">
        <w:t>Any questions related to this request for services should be submitted via email to: Amber Muniz (</w:t>
      </w:r>
      <w:hyperlink r:id="rId10" w:history="1">
        <w:r w:rsidRPr="00420CDA">
          <w:rPr>
            <w:rStyle w:val="Hyperlink"/>
          </w:rPr>
          <w:t>Amber.Muniz@yesprep.org</w:t>
        </w:r>
      </w:hyperlink>
      <w:r w:rsidRPr="00420CDA">
        <w:t xml:space="preserve">) and cc: </w:t>
      </w:r>
      <w:hyperlink r:id="rId11" w:history="1">
        <w:r w:rsidRPr="00420CDA">
          <w:rPr>
            <w:rStyle w:val="Hyperlink"/>
          </w:rPr>
          <w:t>chall@csmcentral.com</w:t>
        </w:r>
      </w:hyperlink>
      <w:r w:rsidRPr="00420CDA">
        <w:t xml:space="preserve"> no later than 2:00 PM local time February 11, 2022.</w:t>
      </w:r>
      <w:r>
        <w:t xml:space="preserve"> </w:t>
      </w:r>
    </w:p>
    <w:bookmarkEnd w:id="1"/>
    <w:p w14:paraId="2A6005A5" w14:textId="77777777" w:rsidR="00A74875" w:rsidRDefault="00A74875" w:rsidP="00A74875">
      <w:pPr>
        <w:pStyle w:val="Heading1"/>
      </w:pPr>
      <w:r>
        <w:t>Evaluation Criteria</w:t>
      </w:r>
    </w:p>
    <w:p w14:paraId="40C54828" w14:textId="77777777" w:rsidR="00A74875" w:rsidRDefault="00A74875" w:rsidP="00A74875">
      <w:pPr>
        <w:widowControl w:val="0"/>
        <w:tabs>
          <w:tab w:val="left" w:pos="1170"/>
        </w:tabs>
        <w:autoSpaceDE w:val="0"/>
        <w:autoSpaceDN w:val="0"/>
        <w:spacing w:before="1" w:after="0" w:line="240" w:lineRule="auto"/>
        <w:jc w:val="both"/>
      </w:pPr>
      <w:r w:rsidRPr="00474054">
        <w:rPr>
          <w:u w:val="single"/>
        </w:rPr>
        <w:t>Evaluation</w:t>
      </w:r>
      <w:r w:rsidRPr="00474054">
        <w:rPr>
          <w:spacing w:val="-10"/>
          <w:u w:val="single"/>
        </w:rPr>
        <w:t xml:space="preserve"> </w:t>
      </w:r>
      <w:r w:rsidRPr="00474054">
        <w:rPr>
          <w:u w:val="single"/>
        </w:rPr>
        <w:t>Criteria</w:t>
      </w:r>
    </w:p>
    <w:p w14:paraId="6B6E0FBA" w14:textId="77777777" w:rsidR="00A74875" w:rsidRDefault="00A74875" w:rsidP="00A74875">
      <w:pPr>
        <w:pStyle w:val="BodyText"/>
        <w:tabs>
          <w:tab w:val="left" w:pos="1170"/>
        </w:tabs>
        <w:spacing w:before="56" w:line="276" w:lineRule="auto"/>
        <w:ind w:right="301"/>
      </w:pPr>
      <w:r>
        <w:t xml:space="preserve">An evaluation committee will review and evaluate all proposals based on the factors detailed herein. </w:t>
      </w:r>
      <w:proofErr w:type="gramStart"/>
      <w:r>
        <w:t>YES</w:t>
      </w:r>
      <w:proofErr w:type="gramEnd"/>
      <w:r>
        <w:t xml:space="preserve"> Prep Purchasing Department will oversee the procurement process, including the evaluation, and will make a recommendation to YES Prep Public Schools’ Board based on the YES Prep evaluation committee’s recommendation. YES Prep’ Board of Directors will make the final decision on whether and to whom a contract is to be awarded.</w:t>
      </w:r>
    </w:p>
    <w:p w14:paraId="785E53AB" w14:textId="77777777" w:rsidR="00A74875" w:rsidRDefault="00A74875" w:rsidP="00A74875">
      <w:pPr>
        <w:pStyle w:val="BodyText"/>
        <w:tabs>
          <w:tab w:val="left" w:pos="1170"/>
        </w:tabs>
        <w:spacing w:before="4"/>
        <w:rPr>
          <w:sz w:val="16"/>
        </w:rPr>
      </w:pPr>
    </w:p>
    <w:p w14:paraId="55BCC620" w14:textId="77777777" w:rsidR="00A74875" w:rsidRDefault="00A74875" w:rsidP="00A74875">
      <w:pPr>
        <w:pStyle w:val="Heading2"/>
        <w:tabs>
          <w:tab w:val="left" w:pos="1170"/>
          <w:tab w:val="left" w:pos="7997"/>
        </w:tabs>
        <w:jc w:val="both"/>
        <w:rPr>
          <w:sz w:val="22"/>
        </w:rPr>
      </w:pPr>
      <w:r>
        <w:t>Evaluation</w:t>
      </w:r>
      <w:r>
        <w:rPr>
          <w:spacing w:val="-3"/>
        </w:rPr>
        <w:t xml:space="preserve"> </w:t>
      </w:r>
      <w:r>
        <w:t>Factors                                                                                                        Weighted</w:t>
      </w:r>
      <w:r>
        <w:rPr>
          <w:spacing w:val="-6"/>
        </w:rPr>
        <w:t xml:space="preserve"> </w:t>
      </w:r>
      <w:r>
        <w:t>Value</w:t>
      </w:r>
    </w:p>
    <w:tbl>
      <w:tblPr>
        <w:tblW w:w="0" w:type="auto"/>
        <w:tblBorders>
          <w:insideH w:val="nil"/>
          <w:insideV w:val="nil"/>
        </w:tblBorders>
        <w:tblLayout w:type="fixed"/>
        <w:tblCellMar>
          <w:left w:w="0" w:type="dxa"/>
          <w:right w:w="0" w:type="dxa"/>
        </w:tblCellMar>
        <w:tblLook w:val="01E0" w:firstRow="1" w:lastRow="1" w:firstColumn="1" w:lastColumn="1" w:noHBand="0" w:noVBand="0"/>
      </w:tblPr>
      <w:tblGrid>
        <w:gridCol w:w="8927"/>
        <w:gridCol w:w="823"/>
      </w:tblGrid>
      <w:tr w:rsidR="00A74875" w14:paraId="65805EDE" w14:textId="77777777" w:rsidTr="00930F79">
        <w:trPr>
          <w:trHeight w:hRule="exact" w:val="259"/>
        </w:trPr>
        <w:tc>
          <w:tcPr>
            <w:tcW w:w="8927" w:type="dxa"/>
            <w:tcBorders>
              <w:top w:val="nil"/>
              <w:left w:val="nil"/>
              <w:bottom w:val="nil"/>
              <w:right w:val="nil"/>
            </w:tcBorders>
            <w:hideMark/>
          </w:tcPr>
          <w:p w14:paraId="46098EF8" w14:textId="536C296E" w:rsidR="00A74875" w:rsidRDefault="00A74875" w:rsidP="00930F79">
            <w:pPr>
              <w:pStyle w:val="TableParagraph"/>
              <w:tabs>
                <w:tab w:val="left" w:pos="1170"/>
              </w:tabs>
              <w:spacing w:line="225" w:lineRule="exact"/>
              <w:ind w:left="50"/>
            </w:pPr>
            <w:r>
              <w:t xml:space="preserve">1.    </w:t>
            </w:r>
            <w:r w:rsidR="006D096B">
              <w:t>Cost of E-Rate eligible goods and/or services</w:t>
            </w:r>
          </w:p>
        </w:tc>
        <w:tc>
          <w:tcPr>
            <w:tcW w:w="823" w:type="dxa"/>
            <w:tcBorders>
              <w:top w:val="nil"/>
              <w:left w:val="nil"/>
              <w:bottom w:val="nil"/>
              <w:right w:val="nil"/>
            </w:tcBorders>
            <w:hideMark/>
          </w:tcPr>
          <w:p w14:paraId="77BE95A9" w14:textId="77777777" w:rsidR="00A74875" w:rsidRDefault="00A74875" w:rsidP="00930F79">
            <w:pPr>
              <w:pStyle w:val="TableParagraph"/>
              <w:tabs>
                <w:tab w:val="left" w:pos="1170"/>
              </w:tabs>
              <w:spacing w:line="225" w:lineRule="exact"/>
              <w:ind w:right="50"/>
              <w:jc w:val="right"/>
            </w:pPr>
            <w:r>
              <w:t>40</w:t>
            </w:r>
          </w:p>
        </w:tc>
      </w:tr>
      <w:tr w:rsidR="00A74875" w14:paraId="24B599AE" w14:textId="77777777" w:rsidTr="00930F79">
        <w:trPr>
          <w:trHeight w:hRule="exact" w:val="303"/>
        </w:trPr>
        <w:tc>
          <w:tcPr>
            <w:tcW w:w="8927" w:type="dxa"/>
            <w:tcBorders>
              <w:top w:val="nil"/>
              <w:left w:val="nil"/>
              <w:bottom w:val="nil"/>
              <w:right w:val="nil"/>
            </w:tcBorders>
            <w:hideMark/>
          </w:tcPr>
          <w:p w14:paraId="08C448D6" w14:textId="470AE94D" w:rsidR="00A74875" w:rsidRDefault="00A74875" w:rsidP="00930F79">
            <w:pPr>
              <w:pStyle w:val="TableParagraph"/>
              <w:tabs>
                <w:tab w:val="left" w:pos="1170"/>
              </w:tabs>
              <w:spacing w:line="256" w:lineRule="auto"/>
              <w:ind w:left="50"/>
            </w:pPr>
            <w:r>
              <w:t>2.    Proposer’s past relationship with YES Prep or similar entities</w:t>
            </w:r>
          </w:p>
        </w:tc>
        <w:tc>
          <w:tcPr>
            <w:tcW w:w="823" w:type="dxa"/>
            <w:tcBorders>
              <w:top w:val="nil"/>
              <w:left w:val="nil"/>
              <w:bottom w:val="nil"/>
              <w:right w:val="nil"/>
            </w:tcBorders>
            <w:hideMark/>
          </w:tcPr>
          <w:p w14:paraId="6D2AF994" w14:textId="77777777" w:rsidR="00A74875" w:rsidRDefault="00A74875" w:rsidP="00930F79">
            <w:pPr>
              <w:pStyle w:val="TableParagraph"/>
              <w:tabs>
                <w:tab w:val="left" w:pos="1170"/>
              </w:tabs>
              <w:spacing w:line="256" w:lineRule="auto"/>
              <w:ind w:right="49"/>
              <w:jc w:val="right"/>
            </w:pPr>
            <w:r>
              <w:t>20</w:t>
            </w:r>
          </w:p>
        </w:tc>
      </w:tr>
      <w:tr w:rsidR="00A74875" w14:paraId="3CC2BB31" w14:textId="77777777" w:rsidTr="00930F79">
        <w:trPr>
          <w:trHeight w:hRule="exact" w:val="301"/>
        </w:trPr>
        <w:tc>
          <w:tcPr>
            <w:tcW w:w="8927" w:type="dxa"/>
            <w:tcBorders>
              <w:top w:val="nil"/>
              <w:left w:val="nil"/>
              <w:bottom w:val="nil"/>
              <w:right w:val="nil"/>
            </w:tcBorders>
            <w:hideMark/>
          </w:tcPr>
          <w:p w14:paraId="65D565E0" w14:textId="77777777" w:rsidR="00A74875" w:rsidRDefault="00A74875" w:rsidP="00930F79">
            <w:pPr>
              <w:pStyle w:val="TableParagraph"/>
              <w:tabs>
                <w:tab w:val="left" w:pos="1170"/>
              </w:tabs>
              <w:spacing w:line="256" w:lineRule="auto"/>
              <w:ind w:left="50"/>
            </w:pPr>
            <w:r>
              <w:t>3.    Reputation of Proposer and of Proposer’s goods and/or services</w:t>
            </w:r>
          </w:p>
        </w:tc>
        <w:tc>
          <w:tcPr>
            <w:tcW w:w="823" w:type="dxa"/>
            <w:tcBorders>
              <w:top w:val="nil"/>
              <w:left w:val="nil"/>
              <w:bottom w:val="nil"/>
              <w:right w:val="nil"/>
            </w:tcBorders>
            <w:hideMark/>
          </w:tcPr>
          <w:p w14:paraId="46B22F05" w14:textId="77777777" w:rsidR="00A74875" w:rsidRDefault="00A74875" w:rsidP="00930F79">
            <w:pPr>
              <w:pStyle w:val="TableParagraph"/>
              <w:tabs>
                <w:tab w:val="left" w:pos="1170"/>
              </w:tabs>
              <w:spacing w:line="256" w:lineRule="auto"/>
              <w:ind w:right="49"/>
              <w:jc w:val="right"/>
            </w:pPr>
            <w:r>
              <w:t>15</w:t>
            </w:r>
          </w:p>
        </w:tc>
      </w:tr>
      <w:tr w:rsidR="00A74875" w14:paraId="4B2AA238" w14:textId="77777777" w:rsidTr="00930F79">
        <w:trPr>
          <w:trHeight w:hRule="exact" w:val="301"/>
        </w:trPr>
        <w:tc>
          <w:tcPr>
            <w:tcW w:w="8927" w:type="dxa"/>
            <w:tcBorders>
              <w:top w:val="nil"/>
              <w:left w:val="nil"/>
              <w:bottom w:val="nil"/>
              <w:right w:val="nil"/>
            </w:tcBorders>
            <w:hideMark/>
          </w:tcPr>
          <w:p w14:paraId="1594219E" w14:textId="77777777" w:rsidR="00A74875" w:rsidRDefault="00A74875" w:rsidP="00930F79">
            <w:pPr>
              <w:pStyle w:val="TableParagraph"/>
              <w:tabs>
                <w:tab w:val="left" w:pos="1170"/>
              </w:tabs>
              <w:spacing w:line="268" w:lineRule="exact"/>
              <w:ind w:left="50"/>
            </w:pPr>
            <w:r>
              <w:t>4.    Proposer’s size and structure</w:t>
            </w:r>
          </w:p>
        </w:tc>
        <w:tc>
          <w:tcPr>
            <w:tcW w:w="823" w:type="dxa"/>
            <w:tcBorders>
              <w:top w:val="nil"/>
              <w:left w:val="nil"/>
              <w:bottom w:val="nil"/>
              <w:right w:val="nil"/>
            </w:tcBorders>
            <w:hideMark/>
          </w:tcPr>
          <w:p w14:paraId="6EDA6391" w14:textId="77777777" w:rsidR="00A74875" w:rsidRDefault="00A74875" w:rsidP="00930F79">
            <w:pPr>
              <w:pStyle w:val="TableParagraph"/>
              <w:tabs>
                <w:tab w:val="left" w:pos="1170"/>
              </w:tabs>
              <w:spacing w:line="268" w:lineRule="exact"/>
              <w:ind w:right="48"/>
              <w:jc w:val="right"/>
            </w:pPr>
            <w:r>
              <w:t>10</w:t>
            </w:r>
          </w:p>
        </w:tc>
      </w:tr>
      <w:tr w:rsidR="00A74875" w14:paraId="7CACD665" w14:textId="77777777" w:rsidTr="00930F79">
        <w:trPr>
          <w:trHeight w:hRule="exact" w:val="303"/>
        </w:trPr>
        <w:tc>
          <w:tcPr>
            <w:tcW w:w="8927" w:type="dxa"/>
            <w:tcBorders>
              <w:top w:val="nil"/>
              <w:left w:val="nil"/>
              <w:bottom w:val="nil"/>
              <w:right w:val="nil"/>
            </w:tcBorders>
            <w:hideMark/>
          </w:tcPr>
          <w:p w14:paraId="3D9E1197" w14:textId="77777777" w:rsidR="00A74875" w:rsidRDefault="00A74875" w:rsidP="00930F79">
            <w:pPr>
              <w:pStyle w:val="TableParagraph"/>
              <w:tabs>
                <w:tab w:val="left" w:pos="1170"/>
              </w:tabs>
              <w:spacing w:line="256" w:lineRule="auto"/>
              <w:ind w:left="51"/>
            </w:pPr>
            <w:r>
              <w:t>5.    Extent to which the goods and/or services meet YES PREP’ needs</w:t>
            </w:r>
          </w:p>
        </w:tc>
        <w:tc>
          <w:tcPr>
            <w:tcW w:w="823" w:type="dxa"/>
            <w:tcBorders>
              <w:top w:val="nil"/>
              <w:left w:val="nil"/>
              <w:bottom w:val="nil"/>
              <w:right w:val="nil"/>
            </w:tcBorders>
            <w:hideMark/>
          </w:tcPr>
          <w:p w14:paraId="7415A020" w14:textId="77777777" w:rsidR="00A74875" w:rsidRDefault="00A74875" w:rsidP="00930F79">
            <w:pPr>
              <w:pStyle w:val="TableParagraph"/>
              <w:tabs>
                <w:tab w:val="left" w:pos="1170"/>
              </w:tabs>
              <w:spacing w:line="256" w:lineRule="auto"/>
              <w:ind w:right="48"/>
              <w:jc w:val="right"/>
            </w:pPr>
            <w:r>
              <w:t>10</w:t>
            </w:r>
          </w:p>
        </w:tc>
      </w:tr>
      <w:tr w:rsidR="00A74875" w14:paraId="6C8F2682" w14:textId="77777777" w:rsidTr="00930F79">
        <w:trPr>
          <w:trHeight w:hRule="exact" w:val="558"/>
        </w:trPr>
        <w:tc>
          <w:tcPr>
            <w:tcW w:w="8927" w:type="dxa"/>
            <w:tcBorders>
              <w:top w:val="nil"/>
              <w:left w:val="nil"/>
              <w:bottom w:val="nil"/>
              <w:right w:val="nil"/>
            </w:tcBorders>
            <w:hideMark/>
          </w:tcPr>
          <w:p w14:paraId="0DA9DAC1" w14:textId="666AFB79" w:rsidR="00A74875" w:rsidRDefault="00A74875" w:rsidP="00930F79">
            <w:pPr>
              <w:pStyle w:val="TableParagraph"/>
              <w:tabs>
                <w:tab w:val="left" w:pos="1170"/>
              </w:tabs>
              <w:spacing w:line="256" w:lineRule="auto"/>
              <w:ind w:left="51"/>
            </w:pPr>
            <w:r>
              <w:t xml:space="preserve">6.    Proposer’s Diversity Credentials (Women Own, Minority own, SBA, Veteran Owned, </w:t>
            </w:r>
            <w:r w:rsidR="005A2E10">
              <w:t>etc.</w:t>
            </w:r>
            <w:r>
              <w:t>)</w:t>
            </w:r>
          </w:p>
        </w:tc>
        <w:tc>
          <w:tcPr>
            <w:tcW w:w="823" w:type="dxa"/>
            <w:tcBorders>
              <w:top w:val="nil"/>
              <w:left w:val="nil"/>
              <w:bottom w:val="nil"/>
              <w:right w:val="nil"/>
            </w:tcBorders>
            <w:hideMark/>
          </w:tcPr>
          <w:p w14:paraId="4839CD8B" w14:textId="77777777" w:rsidR="00A74875" w:rsidRDefault="00A74875" w:rsidP="00930F79">
            <w:pPr>
              <w:pStyle w:val="TableParagraph"/>
              <w:tabs>
                <w:tab w:val="left" w:pos="1170"/>
              </w:tabs>
              <w:spacing w:line="256" w:lineRule="auto"/>
              <w:ind w:right="48"/>
              <w:jc w:val="right"/>
            </w:pPr>
            <w:r>
              <w:t>5</w:t>
            </w:r>
          </w:p>
        </w:tc>
      </w:tr>
    </w:tbl>
    <w:p w14:paraId="4AC54156" w14:textId="77777777" w:rsidR="00A74875" w:rsidRDefault="00A74875" w:rsidP="00A74875">
      <w:pPr>
        <w:pStyle w:val="BodyText"/>
        <w:tabs>
          <w:tab w:val="left" w:pos="1170"/>
        </w:tabs>
        <w:spacing w:before="1" w:line="276" w:lineRule="auto"/>
        <w:ind w:right="113"/>
        <w:jc w:val="both"/>
      </w:pPr>
      <w:r>
        <w:lastRenderedPageBreak/>
        <w:t>In</w:t>
      </w:r>
      <w:r>
        <w:rPr>
          <w:spacing w:val="-11"/>
        </w:rPr>
        <w:t xml:space="preserve"> </w:t>
      </w:r>
      <w:r>
        <w:t>case</w:t>
      </w:r>
      <w:r>
        <w:rPr>
          <w:spacing w:val="-10"/>
        </w:rPr>
        <w:t xml:space="preserve"> </w:t>
      </w:r>
      <w:r>
        <w:t>of</w:t>
      </w:r>
      <w:r>
        <w:rPr>
          <w:spacing w:val="-11"/>
        </w:rPr>
        <w:t xml:space="preserve"> </w:t>
      </w:r>
      <w:r>
        <w:t>ambiguity</w:t>
      </w:r>
      <w:r>
        <w:rPr>
          <w:spacing w:val="-12"/>
        </w:rPr>
        <w:t xml:space="preserve"> </w:t>
      </w:r>
      <w:r>
        <w:t>or</w:t>
      </w:r>
      <w:r>
        <w:rPr>
          <w:spacing w:val="-11"/>
        </w:rPr>
        <w:t xml:space="preserve"> </w:t>
      </w:r>
      <w:r>
        <w:t>lack</w:t>
      </w:r>
      <w:r>
        <w:rPr>
          <w:spacing w:val="-12"/>
        </w:rPr>
        <w:t xml:space="preserve"> </w:t>
      </w:r>
      <w:r>
        <w:t>of</w:t>
      </w:r>
      <w:r>
        <w:rPr>
          <w:spacing w:val="-11"/>
        </w:rPr>
        <w:t xml:space="preserve"> </w:t>
      </w:r>
      <w:r>
        <w:t>clarity</w:t>
      </w:r>
      <w:r>
        <w:rPr>
          <w:spacing w:val="-9"/>
        </w:rPr>
        <w:t xml:space="preserve"> </w:t>
      </w:r>
      <w:r>
        <w:t>in</w:t>
      </w:r>
      <w:r>
        <w:rPr>
          <w:spacing w:val="-11"/>
        </w:rPr>
        <w:t xml:space="preserve"> </w:t>
      </w:r>
      <w:r>
        <w:t>a</w:t>
      </w:r>
      <w:r>
        <w:rPr>
          <w:spacing w:val="-11"/>
        </w:rPr>
        <w:t xml:space="preserve"> </w:t>
      </w:r>
      <w:r>
        <w:t>proposal,</w:t>
      </w:r>
      <w:r>
        <w:rPr>
          <w:spacing w:val="-10"/>
        </w:rPr>
        <w:t xml:space="preserve"> </w:t>
      </w:r>
      <w:r>
        <w:t>YES Prep</w:t>
      </w:r>
      <w:r>
        <w:rPr>
          <w:spacing w:val="-13"/>
        </w:rPr>
        <w:t xml:space="preserve"> </w:t>
      </w:r>
      <w:r>
        <w:t>reserves</w:t>
      </w:r>
      <w:r>
        <w:rPr>
          <w:spacing w:val="-10"/>
        </w:rPr>
        <w:t xml:space="preserve"> </w:t>
      </w:r>
      <w:r>
        <w:t>the</w:t>
      </w:r>
      <w:r>
        <w:rPr>
          <w:spacing w:val="-10"/>
        </w:rPr>
        <w:t xml:space="preserve"> </w:t>
      </w:r>
      <w:r>
        <w:t>right</w:t>
      </w:r>
      <w:r>
        <w:rPr>
          <w:spacing w:val="-10"/>
        </w:rPr>
        <w:t xml:space="preserve"> </w:t>
      </w:r>
      <w:r>
        <w:t>to</w:t>
      </w:r>
      <w:r>
        <w:rPr>
          <w:spacing w:val="-9"/>
        </w:rPr>
        <w:t xml:space="preserve"> </w:t>
      </w:r>
      <w:r>
        <w:t>consider</w:t>
      </w:r>
      <w:r>
        <w:rPr>
          <w:spacing w:val="-11"/>
        </w:rPr>
        <w:t xml:space="preserve"> </w:t>
      </w:r>
      <w:r>
        <w:t>the</w:t>
      </w:r>
      <w:r>
        <w:rPr>
          <w:spacing w:val="-12"/>
        </w:rPr>
        <w:t xml:space="preserve"> </w:t>
      </w:r>
      <w:r>
        <w:t>most advantageous construction thereof, or to reject the proposal, in YES Prep’ sole</w:t>
      </w:r>
      <w:r>
        <w:rPr>
          <w:spacing w:val="-28"/>
        </w:rPr>
        <w:t xml:space="preserve"> </w:t>
      </w:r>
      <w:r>
        <w:t>discretion.</w:t>
      </w:r>
    </w:p>
    <w:p w14:paraId="0C6860AE" w14:textId="77777777" w:rsidR="00A74875" w:rsidRDefault="00A74875" w:rsidP="00A74875">
      <w:pPr>
        <w:widowControl w:val="0"/>
        <w:tabs>
          <w:tab w:val="left" w:pos="1170"/>
        </w:tabs>
        <w:autoSpaceDE w:val="0"/>
        <w:autoSpaceDN w:val="0"/>
        <w:spacing w:after="0" w:line="240" w:lineRule="auto"/>
        <w:rPr>
          <w:u w:val="single"/>
        </w:rPr>
      </w:pPr>
    </w:p>
    <w:p w14:paraId="1B519DEC" w14:textId="77777777" w:rsidR="00A74875" w:rsidRDefault="00A74875" w:rsidP="00A74875">
      <w:pPr>
        <w:widowControl w:val="0"/>
        <w:tabs>
          <w:tab w:val="left" w:pos="1170"/>
        </w:tabs>
        <w:autoSpaceDE w:val="0"/>
        <w:autoSpaceDN w:val="0"/>
        <w:spacing w:after="0" w:line="240" w:lineRule="auto"/>
      </w:pPr>
      <w:r w:rsidRPr="00164573">
        <w:rPr>
          <w:u w:val="single"/>
        </w:rPr>
        <w:t>Award of</w:t>
      </w:r>
      <w:r w:rsidRPr="00164573">
        <w:rPr>
          <w:spacing w:val="-6"/>
          <w:u w:val="single"/>
        </w:rPr>
        <w:t xml:space="preserve"> </w:t>
      </w:r>
      <w:r w:rsidRPr="00164573">
        <w:rPr>
          <w:u w:val="single"/>
        </w:rPr>
        <w:t>Contract</w:t>
      </w:r>
    </w:p>
    <w:p w14:paraId="25242EBE" w14:textId="5CD104F2" w:rsidR="00A74875" w:rsidRDefault="00A74875" w:rsidP="00A74875">
      <w:pPr>
        <w:pStyle w:val="BodyText"/>
        <w:tabs>
          <w:tab w:val="left" w:pos="1170"/>
        </w:tabs>
        <w:spacing w:before="40" w:line="276" w:lineRule="auto"/>
        <w:ind w:right="112"/>
        <w:jc w:val="both"/>
      </w:pPr>
      <w:r>
        <w:t>A proposal submitted in response to this RFP is an offer to contract with YES Prep Public Schools based upon the terms, conditions, and specifications of this RFP. A proposal does not become a contract unless and until it is accepted by YES Prep Public Schools after approval by its Board. A letter of award will be issued to winning bidder.</w:t>
      </w:r>
    </w:p>
    <w:p w14:paraId="7821F7DA" w14:textId="3AA8DBD5" w:rsidR="00A74875" w:rsidRDefault="00A74875" w:rsidP="00A74875">
      <w:pPr>
        <w:pStyle w:val="Heading1"/>
      </w:pPr>
      <w:r>
        <w:t>Decision Timeline</w:t>
      </w:r>
    </w:p>
    <w:tbl>
      <w:tblPr>
        <w:tblStyle w:val="TableGrid"/>
        <w:tblW w:w="0" w:type="auto"/>
        <w:tblLook w:val="04A0" w:firstRow="1" w:lastRow="0" w:firstColumn="1" w:lastColumn="0" w:noHBand="0" w:noVBand="1"/>
      </w:tblPr>
      <w:tblGrid>
        <w:gridCol w:w="5665"/>
        <w:gridCol w:w="3060"/>
      </w:tblGrid>
      <w:tr w:rsidR="00A74875" w14:paraId="0342D1C3" w14:textId="77777777" w:rsidTr="54B5F4B8">
        <w:tc>
          <w:tcPr>
            <w:tcW w:w="5665" w:type="dxa"/>
          </w:tcPr>
          <w:p w14:paraId="4A2E5550" w14:textId="77777777" w:rsidR="00A74875" w:rsidRPr="005B4A3C" w:rsidRDefault="00A74875" w:rsidP="00930F79">
            <w:pPr>
              <w:rPr>
                <w:b/>
                <w:bCs/>
              </w:rPr>
            </w:pPr>
            <w:r w:rsidRPr="005B4A3C">
              <w:rPr>
                <w:b/>
                <w:bCs/>
              </w:rPr>
              <w:t>Activity</w:t>
            </w:r>
          </w:p>
        </w:tc>
        <w:tc>
          <w:tcPr>
            <w:tcW w:w="3060" w:type="dxa"/>
          </w:tcPr>
          <w:p w14:paraId="6E8BC649" w14:textId="77777777" w:rsidR="00A74875" w:rsidRPr="005B4A3C" w:rsidRDefault="00A74875" w:rsidP="00930F79">
            <w:pPr>
              <w:rPr>
                <w:b/>
                <w:bCs/>
              </w:rPr>
            </w:pPr>
            <w:r w:rsidRPr="005B4A3C">
              <w:rPr>
                <w:b/>
                <w:bCs/>
              </w:rPr>
              <w:t>Due Date</w:t>
            </w:r>
          </w:p>
        </w:tc>
      </w:tr>
      <w:tr w:rsidR="00A74875" w14:paraId="04F1D4EC" w14:textId="77777777" w:rsidTr="54B5F4B8">
        <w:tc>
          <w:tcPr>
            <w:tcW w:w="5665" w:type="dxa"/>
          </w:tcPr>
          <w:p w14:paraId="3575E767" w14:textId="77777777" w:rsidR="00A74875" w:rsidRPr="00CD6A6E" w:rsidRDefault="00A74875" w:rsidP="00930F79">
            <w:r>
              <w:t>RFP Posted</w:t>
            </w:r>
          </w:p>
        </w:tc>
        <w:tc>
          <w:tcPr>
            <w:tcW w:w="3060" w:type="dxa"/>
          </w:tcPr>
          <w:p w14:paraId="073B31CA" w14:textId="27F0F37C" w:rsidR="00A74875" w:rsidRPr="00CD6A6E" w:rsidRDefault="00A74875" w:rsidP="00930F79">
            <w:r>
              <w:t>Wednesday January 26</w:t>
            </w:r>
            <w:r w:rsidR="531CCBFF" w:rsidRPr="54B5F4B8">
              <w:rPr>
                <w:vertAlign w:val="superscript"/>
              </w:rPr>
              <w:t>th</w:t>
            </w:r>
            <w:r>
              <w:t xml:space="preserve"> 2022</w:t>
            </w:r>
          </w:p>
        </w:tc>
      </w:tr>
      <w:tr w:rsidR="00A74875" w14:paraId="4CB8F1A7" w14:textId="77777777" w:rsidTr="54B5F4B8">
        <w:tc>
          <w:tcPr>
            <w:tcW w:w="5665" w:type="dxa"/>
          </w:tcPr>
          <w:p w14:paraId="4C822099" w14:textId="4F00EAB4" w:rsidR="00A74875" w:rsidRDefault="005A2E10" w:rsidP="00930F79">
            <w:r>
              <w:t>Due Date to Submit Questions</w:t>
            </w:r>
          </w:p>
        </w:tc>
        <w:tc>
          <w:tcPr>
            <w:tcW w:w="3060" w:type="dxa"/>
          </w:tcPr>
          <w:p w14:paraId="372976A2" w14:textId="77777777" w:rsidR="00A74875" w:rsidRDefault="00A74875" w:rsidP="00930F79">
            <w:r>
              <w:t>Friday February 11</w:t>
            </w:r>
            <w:r w:rsidRPr="00C91732">
              <w:rPr>
                <w:vertAlign w:val="superscript"/>
              </w:rPr>
              <w:t>th</w:t>
            </w:r>
            <w:r>
              <w:t xml:space="preserve"> 2022</w:t>
            </w:r>
          </w:p>
        </w:tc>
      </w:tr>
      <w:tr w:rsidR="00A74875" w14:paraId="56C8F9DA" w14:textId="77777777" w:rsidTr="54B5F4B8">
        <w:tc>
          <w:tcPr>
            <w:tcW w:w="5665" w:type="dxa"/>
          </w:tcPr>
          <w:p w14:paraId="6E1B7479" w14:textId="1964A4EF" w:rsidR="00A74875" w:rsidRPr="00CD6A6E" w:rsidRDefault="005A2E10" w:rsidP="00930F79">
            <w:r>
              <w:t>Proposals</w:t>
            </w:r>
            <w:r w:rsidR="00A74875">
              <w:t xml:space="preserve"> Due</w:t>
            </w:r>
          </w:p>
        </w:tc>
        <w:tc>
          <w:tcPr>
            <w:tcW w:w="3060" w:type="dxa"/>
          </w:tcPr>
          <w:p w14:paraId="2E5039DF" w14:textId="77777777" w:rsidR="00A74875" w:rsidRPr="00CD6A6E" w:rsidRDefault="00A74875" w:rsidP="00930F79">
            <w:r>
              <w:t>Wednesday February 23</w:t>
            </w:r>
            <w:r w:rsidRPr="00C91732">
              <w:rPr>
                <w:vertAlign w:val="superscript"/>
              </w:rPr>
              <w:t>rd</w:t>
            </w:r>
            <w:r>
              <w:t xml:space="preserve"> 2022</w:t>
            </w:r>
          </w:p>
        </w:tc>
      </w:tr>
      <w:tr w:rsidR="00A74875" w14:paraId="31FA6CEF" w14:textId="77777777" w:rsidTr="54B5F4B8">
        <w:tc>
          <w:tcPr>
            <w:tcW w:w="5665" w:type="dxa"/>
          </w:tcPr>
          <w:p w14:paraId="7725F1DD" w14:textId="77777777" w:rsidR="00A74875" w:rsidRPr="00CD6A6E" w:rsidRDefault="00A74875" w:rsidP="00930F79">
            <w:r>
              <w:t>Review submission &amp; answer questions with vendors</w:t>
            </w:r>
          </w:p>
        </w:tc>
        <w:tc>
          <w:tcPr>
            <w:tcW w:w="3060" w:type="dxa"/>
          </w:tcPr>
          <w:p w14:paraId="05BCAB0B" w14:textId="77777777" w:rsidR="00A74875" w:rsidRPr="00CD6A6E" w:rsidRDefault="00A74875" w:rsidP="00930F79">
            <w:r>
              <w:t>Wednesday March 8</w:t>
            </w:r>
            <w:r w:rsidRPr="00C91732">
              <w:rPr>
                <w:vertAlign w:val="superscript"/>
              </w:rPr>
              <w:t>th</w:t>
            </w:r>
            <w:r>
              <w:t xml:space="preserve"> 2022</w:t>
            </w:r>
          </w:p>
        </w:tc>
      </w:tr>
      <w:tr w:rsidR="00A74875" w14:paraId="7A02DECF" w14:textId="77777777" w:rsidTr="54B5F4B8">
        <w:tc>
          <w:tcPr>
            <w:tcW w:w="5665" w:type="dxa"/>
          </w:tcPr>
          <w:p w14:paraId="6F31DF8B" w14:textId="77777777" w:rsidR="00A74875" w:rsidRPr="00CD6A6E" w:rsidRDefault="00A74875" w:rsidP="00930F79">
            <w:r>
              <w:t>Intent to award</w:t>
            </w:r>
          </w:p>
        </w:tc>
        <w:tc>
          <w:tcPr>
            <w:tcW w:w="3060" w:type="dxa"/>
          </w:tcPr>
          <w:p w14:paraId="6759C5B7" w14:textId="77777777" w:rsidR="00A74875" w:rsidRPr="00CD6A6E" w:rsidRDefault="00A74875" w:rsidP="00930F79">
            <w:r>
              <w:t>Friday March 11</w:t>
            </w:r>
            <w:r w:rsidRPr="00C91732">
              <w:rPr>
                <w:vertAlign w:val="superscript"/>
              </w:rPr>
              <w:t>th</w:t>
            </w:r>
            <w:r>
              <w:t xml:space="preserve"> 2022</w:t>
            </w:r>
          </w:p>
        </w:tc>
      </w:tr>
    </w:tbl>
    <w:p w14:paraId="0708DD38" w14:textId="7AB3440B" w:rsidR="00D15202" w:rsidRDefault="00F90BF0" w:rsidP="00D15202">
      <w:pPr>
        <w:pStyle w:val="Heading1"/>
      </w:pPr>
      <w:r>
        <w:t xml:space="preserve">Environment Considerations </w:t>
      </w:r>
    </w:p>
    <w:p w14:paraId="5ACB87D0" w14:textId="04CD3DFB" w:rsidR="00D15202" w:rsidRDefault="00D15202" w:rsidP="00D15202">
      <w:pPr>
        <w:pStyle w:val="ListParagraph"/>
        <w:numPr>
          <w:ilvl w:val="0"/>
          <w:numId w:val="2"/>
        </w:numPr>
      </w:pPr>
      <w:r>
        <w:t>Each campus plus home office has an IDF and MDF closet with rack and cabinet for housing infrastructure.</w:t>
      </w:r>
    </w:p>
    <w:p w14:paraId="4D2618A5" w14:textId="721A456B" w:rsidR="00D15202" w:rsidRDefault="00D15202" w:rsidP="00D15202">
      <w:pPr>
        <w:pStyle w:val="ListParagraph"/>
        <w:numPr>
          <w:ilvl w:val="0"/>
          <w:numId w:val="2"/>
        </w:numPr>
      </w:pPr>
      <w:r>
        <w:t>All campuses are currently running off Cisco power</w:t>
      </w:r>
      <w:r w:rsidR="00A22BB8">
        <w:t>-</w:t>
      </w:r>
      <w:r>
        <w:t>over</w:t>
      </w:r>
      <w:r w:rsidR="00A22BB8">
        <w:t>-</w:t>
      </w:r>
      <w:r>
        <w:t>ethernet switches.</w:t>
      </w:r>
    </w:p>
    <w:p w14:paraId="0DFD853A" w14:textId="77777777" w:rsidR="00BF2A38" w:rsidRDefault="00BF2A38" w:rsidP="00BF2A38">
      <w:pPr>
        <w:pStyle w:val="ListParagraph"/>
        <w:numPr>
          <w:ilvl w:val="0"/>
          <w:numId w:val="2"/>
        </w:numPr>
      </w:pPr>
      <w:r>
        <w:t>Each campus’s MDF closet has 2 x 4” conduit line for network connectivity that runs underground to the property corner’s Telecom utility pole.</w:t>
      </w:r>
    </w:p>
    <w:p w14:paraId="498C42DD" w14:textId="0E70F536" w:rsidR="00D15202" w:rsidRDefault="00D15202" w:rsidP="00D15202">
      <w:pPr>
        <w:pStyle w:val="ListParagraph"/>
        <w:numPr>
          <w:ilvl w:val="0"/>
          <w:numId w:val="2"/>
        </w:numPr>
      </w:pPr>
      <w:r>
        <w:t>Campuses each have a 1x10 Gbps Fiber point-to-point connection to our Data Center’s Cisco 4500X core switch.</w:t>
      </w:r>
    </w:p>
    <w:p w14:paraId="24EDF8B8" w14:textId="77777777" w:rsidR="00D15202" w:rsidRDefault="00D15202" w:rsidP="00D15202">
      <w:pPr>
        <w:pStyle w:val="ListParagraph"/>
        <w:numPr>
          <w:ilvl w:val="0"/>
          <w:numId w:val="2"/>
        </w:numPr>
      </w:pPr>
      <w:r>
        <w:t>The Data Center has an ASA 4120 for IPSEC connection to Azure South, client VPN, and Internet connection.</w:t>
      </w:r>
    </w:p>
    <w:p w14:paraId="586B7BEA" w14:textId="4B03814C" w:rsidR="00D15202" w:rsidRDefault="00D15202" w:rsidP="00D15202">
      <w:pPr>
        <w:pStyle w:val="ListParagraph"/>
        <w:numPr>
          <w:ilvl w:val="0"/>
          <w:numId w:val="2"/>
        </w:numPr>
      </w:pPr>
      <w:r>
        <w:t>Data Center has 1 x 10 Gbps Fiber Direct Internet Access circuit.</w:t>
      </w:r>
    </w:p>
    <w:p w14:paraId="1412EF35" w14:textId="7884F6FA" w:rsidR="00AE6381" w:rsidRDefault="00AE6381" w:rsidP="00AE6381">
      <w:pPr>
        <w:pStyle w:val="Heading1"/>
      </w:pPr>
      <w:bookmarkStart w:id="2" w:name="_Hlk92108786"/>
      <w:r>
        <w:t>Additional Considerations</w:t>
      </w:r>
    </w:p>
    <w:p w14:paraId="356F70FD" w14:textId="77777777" w:rsidR="00AE6381" w:rsidRDefault="00AE6381" w:rsidP="00AE6381">
      <w:pPr>
        <w:pStyle w:val="ListParagraph"/>
        <w:numPr>
          <w:ilvl w:val="0"/>
          <w:numId w:val="3"/>
        </w:numPr>
      </w:pPr>
      <w:r>
        <w:t>Looking for the ability to:</w:t>
      </w:r>
    </w:p>
    <w:p w14:paraId="0F4E5E40" w14:textId="05BB3F6F" w:rsidR="00AE6381" w:rsidRDefault="00AE6381" w:rsidP="00AE6381">
      <w:pPr>
        <w:pStyle w:val="ListParagraph"/>
        <w:numPr>
          <w:ilvl w:val="1"/>
          <w:numId w:val="3"/>
        </w:numPr>
      </w:pPr>
      <w:r>
        <w:t>Monitor</w:t>
      </w:r>
      <w:r w:rsidR="001C37EF">
        <w:t xml:space="preserve"> and deploy changes</w:t>
      </w:r>
      <w:r>
        <w:t xml:space="preserve"> with web interface dashboard access</w:t>
      </w:r>
    </w:p>
    <w:p w14:paraId="4C82638A" w14:textId="1A70B406" w:rsidR="00AE6381" w:rsidRDefault="00C80964" w:rsidP="00AE6381">
      <w:pPr>
        <w:pStyle w:val="ListParagraph"/>
        <w:numPr>
          <w:ilvl w:val="1"/>
          <w:numId w:val="3"/>
        </w:numPr>
      </w:pPr>
      <w:r>
        <w:t>Obtain r</w:t>
      </w:r>
      <w:r w:rsidR="00AE6381">
        <w:t>eport</w:t>
      </w:r>
      <w:r>
        <w:t>ing</w:t>
      </w:r>
      <w:r w:rsidR="00AE6381">
        <w:t xml:space="preserve"> exported into common formats, API, and/or other integrations</w:t>
      </w:r>
    </w:p>
    <w:p w14:paraId="41317801" w14:textId="3FD40EDB" w:rsidR="00AE6381" w:rsidRDefault="00C80964" w:rsidP="00AE6381">
      <w:pPr>
        <w:pStyle w:val="ListParagraph"/>
        <w:numPr>
          <w:ilvl w:val="1"/>
          <w:numId w:val="3"/>
        </w:numPr>
      </w:pPr>
      <w:r>
        <w:t>Generate a</w:t>
      </w:r>
      <w:r w:rsidR="00AE6381">
        <w:t>lerts with notifications of events</w:t>
      </w:r>
    </w:p>
    <w:p w14:paraId="21D59429" w14:textId="7FF53ADC" w:rsidR="00AE6381" w:rsidRDefault="00C80964" w:rsidP="00AE6381">
      <w:pPr>
        <w:pStyle w:val="ListParagraph"/>
        <w:numPr>
          <w:ilvl w:val="1"/>
          <w:numId w:val="3"/>
        </w:numPr>
      </w:pPr>
      <w:r>
        <w:t>Access l</w:t>
      </w:r>
      <w:r w:rsidR="00AE6381">
        <w:t>ogs</w:t>
      </w:r>
      <w:r w:rsidR="009C5759">
        <w:t xml:space="preserve"> into</w:t>
      </w:r>
      <w:r w:rsidR="00155909">
        <w:t xml:space="preserve"> cybersecurity auditing system such as a</w:t>
      </w:r>
      <w:r w:rsidR="00AE6381">
        <w:t xml:space="preserve"> </w:t>
      </w:r>
      <w:r w:rsidR="00EC3D8C">
        <w:t>Security Information and Event Management (</w:t>
      </w:r>
      <w:r w:rsidR="00AE6381">
        <w:t>SIEM</w:t>
      </w:r>
      <w:r w:rsidR="00EC3D8C">
        <w:t>)</w:t>
      </w:r>
      <w:r w:rsidR="00155909">
        <w:t>.</w:t>
      </w:r>
      <w:r w:rsidR="00AE6381">
        <w:t xml:space="preserve"> </w:t>
      </w:r>
    </w:p>
    <w:bookmarkEnd w:id="2"/>
    <w:p w14:paraId="29F33805" w14:textId="2DF109A3" w:rsidR="00D15202" w:rsidRDefault="00D15202" w:rsidP="00D15202">
      <w:pPr>
        <w:pStyle w:val="Heading1"/>
      </w:pPr>
      <w:r>
        <w:t>Scope</w:t>
      </w:r>
    </w:p>
    <w:tbl>
      <w:tblPr>
        <w:tblStyle w:val="TableGrid"/>
        <w:tblW w:w="6655" w:type="dxa"/>
        <w:tblLook w:val="04A0" w:firstRow="1" w:lastRow="0" w:firstColumn="1" w:lastColumn="0" w:noHBand="0" w:noVBand="1"/>
      </w:tblPr>
      <w:tblGrid>
        <w:gridCol w:w="1181"/>
        <w:gridCol w:w="5474"/>
      </w:tblGrid>
      <w:tr w:rsidR="004B1C47" w14:paraId="519A935F" w14:textId="77777777" w:rsidTr="004B1C47">
        <w:trPr>
          <w:trHeight w:val="197"/>
        </w:trPr>
        <w:tc>
          <w:tcPr>
            <w:tcW w:w="1181" w:type="dxa"/>
          </w:tcPr>
          <w:p w14:paraId="340E4071" w14:textId="0E1201BA" w:rsidR="004B1C47" w:rsidRPr="00D17B0A" w:rsidRDefault="004B1C47" w:rsidP="004376B9">
            <w:pPr>
              <w:jc w:val="center"/>
              <w:rPr>
                <w:b/>
                <w:bCs/>
              </w:rPr>
            </w:pPr>
            <w:bookmarkStart w:id="3" w:name="_Hlk89759024"/>
            <w:r>
              <w:rPr>
                <w:b/>
                <w:bCs/>
              </w:rPr>
              <w:t>Criteria</w:t>
            </w:r>
          </w:p>
        </w:tc>
        <w:tc>
          <w:tcPr>
            <w:tcW w:w="5474" w:type="dxa"/>
          </w:tcPr>
          <w:p w14:paraId="21CB0140" w14:textId="77777777" w:rsidR="004B1C47" w:rsidRPr="00D17B0A" w:rsidRDefault="004B1C47" w:rsidP="004376B9">
            <w:pPr>
              <w:jc w:val="center"/>
              <w:rPr>
                <w:b/>
                <w:bCs/>
              </w:rPr>
            </w:pPr>
            <w:r w:rsidRPr="00D17B0A">
              <w:rPr>
                <w:b/>
                <w:bCs/>
              </w:rPr>
              <w:t>Milestone</w:t>
            </w:r>
          </w:p>
        </w:tc>
      </w:tr>
      <w:tr w:rsidR="004B1C47" w14:paraId="7C7C2C6F" w14:textId="77777777" w:rsidTr="004B1C47">
        <w:trPr>
          <w:trHeight w:val="70"/>
        </w:trPr>
        <w:tc>
          <w:tcPr>
            <w:tcW w:w="1181" w:type="dxa"/>
            <w:shd w:val="clear" w:color="auto" w:fill="auto"/>
          </w:tcPr>
          <w:p w14:paraId="32147D34" w14:textId="77777777" w:rsidR="004B1C47" w:rsidRDefault="004B1C47" w:rsidP="006E60FE">
            <w:r>
              <w:t>Required</w:t>
            </w:r>
          </w:p>
        </w:tc>
        <w:tc>
          <w:tcPr>
            <w:tcW w:w="5474" w:type="dxa"/>
            <w:shd w:val="clear" w:color="auto" w:fill="auto"/>
          </w:tcPr>
          <w:p w14:paraId="5713F7A0" w14:textId="3EC3A906" w:rsidR="004B1C47" w:rsidRDefault="004B1C47" w:rsidP="006E60FE">
            <w:r>
              <w:t xml:space="preserve">Campus local Direct Internet Access (DIA) </w:t>
            </w:r>
            <w:r w:rsidRPr="00415754">
              <w:t xml:space="preserve">to each </w:t>
            </w:r>
            <w:r>
              <w:t>campus</w:t>
            </w:r>
          </w:p>
        </w:tc>
      </w:tr>
      <w:tr w:rsidR="004B1C47" w14:paraId="753360AB" w14:textId="77777777" w:rsidTr="004B1C47">
        <w:trPr>
          <w:trHeight w:val="64"/>
        </w:trPr>
        <w:tc>
          <w:tcPr>
            <w:tcW w:w="1181" w:type="dxa"/>
            <w:shd w:val="clear" w:color="auto" w:fill="auto"/>
          </w:tcPr>
          <w:p w14:paraId="42C19383" w14:textId="77777777" w:rsidR="004B1C47" w:rsidRPr="00C07FD2" w:rsidRDefault="004B1C47" w:rsidP="006E60FE">
            <w:pPr>
              <w:rPr>
                <w:i/>
                <w:iCs/>
              </w:rPr>
            </w:pPr>
            <w:r w:rsidRPr="00C07FD2">
              <w:rPr>
                <w:i/>
                <w:iCs/>
              </w:rPr>
              <w:t>Preferred</w:t>
            </w:r>
          </w:p>
        </w:tc>
        <w:tc>
          <w:tcPr>
            <w:tcW w:w="5474" w:type="dxa"/>
            <w:shd w:val="clear" w:color="auto" w:fill="auto"/>
          </w:tcPr>
          <w:p w14:paraId="1744E5BB" w14:textId="19CCE2D6" w:rsidR="004B1C47" w:rsidRPr="00205FCE" w:rsidRDefault="004B1C47" w:rsidP="00205FCE">
            <w:pPr>
              <w:textAlignment w:val="baseline"/>
              <w:rPr>
                <w:rFonts w:eastAsia="Times New Roman"/>
              </w:rPr>
            </w:pPr>
            <w:r>
              <w:t xml:space="preserve">Firewall </w:t>
            </w:r>
            <w:r w:rsidRPr="00205FCE">
              <w:rPr>
                <w:rFonts w:ascii="Calibri" w:eastAsia="Calibri" w:hAnsi="Calibri" w:cs="Calibri"/>
                <w:color w:val="444444"/>
              </w:rPr>
              <w:t>o</w:t>
            </w:r>
            <w:r>
              <w:t>r Equivalent functionality</w:t>
            </w:r>
          </w:p>
        </w:tc>
      </w:tr>
      <w:tr w:rsidR="004B1C47" w14:paraId="6627F1D7" w14:textId="77777777" w:rsidTr="004B1C47">
        <w:trPr>
          <w:trHeight w:val="75"/>
        </w:trPr>
        <w:tc>
          <w:tcPr>
            <w:tcW w:w="1181" w:type="dxa"/>
            <w:shd w:val="clear" w:color="auto" w:fill="auto"/>
          </w:tcPr>
          <w:p w14:paraId="4F1070BD" w14:textId="77777777" w:rsidR="004B1C47" w:rsidRDefault="004B1C47" w:rsidP="006E60FE">
            <w:r>
              <w:t>Required</w:t>
            </w:r>
          </w:p>
        </w:tc>
        <w:tc>
          <w:tcPr>
            <w:tcW w:w="5474" w:type="dxa"/>
            <w:shd w:val="clear" w:color="auto" w:fill="auto"/>
          </w:tcPr>
          <w:p w14:paraId="44C1EB2F" w14:textId="17DF2BFF" w:rsidR="004B1C47" w:rsidRDefault="004B1C47" w:rsidP="006E60FE">
            <w:r>
              <w:t>Campus traffic separated</w:t>
            </w:r>
            <w:r w:rsidR="00441549">
              <w:t xml:space="preserve"> by network</w:t>
            </w:r>
            <w:r>
              <w:t xml:space="preserve"> VLANs</w:t>
            </w:r>
          </w:p>
        </w:tc>
      </w:tr>
      <w:tr w:rsidR="004B1C47" w14:paraId="0DA2614D" w14:textId="77777777" w:rsidTr="004B1C47">
        <w:trPr>
          <w:trHeight w:val="269"/>
        </w:trPr>
        <w:tc>
          <w:tcPr>
            <w:tcW w:w="1181" w:type="dxa"/>
            <w:shd w:val="clear" w:color="auto" w:fill="auto"/>
          </w:tcPr>
          <w:p w14:paraId="2575B786" w14:textId="0D0EA904" w:rsidR="004B1C47" w:rsidRPr="00FA7175" w:rsidRDefault="004B1C47" w:rsidP="006E60FE">
            <w:pPr>
              <w:rPr>
                <w:i/>
                <w:iCs/>
              </w:rPr>
            </w:pPr>
            <w:r w:rsidRPr="00FA7175">
              <w:rPr>
                <w:i/>
                <w:iCs/>
              </w:rPr>
              <w:t>Preferred</w:t>
            </w:r>
          </w:p>
        </w:tc>
        <w:tc>
          <w:tcPr>
            <w:tcW w:w="5474" w:type="dxa"/>
            <w:shd w:val="clear" w:color="auto" w:fill="auto"/>
          </w:tcPr>
          <w:p w14:paraId="300E512B" w14:textId="1CC36F47" w:rsidR="004B1C47" w:rsidRPr="00FA7175" w:rsidRDefault="004B1C47" w:rsidP="006E60FE">
            <w:pPr>
              <w:rPr>
                <w:i/>
                <w:iCs/>
              </w:rPr>
            </w:pPr>
            <w:r>
              <w:rPr>
                <w:i/>
                <w:iCs/>
              </w:rPr>
              <w:t xml:space="preserve">Functionality Equivalent to </w:t>
            </w:r>
            <w:r w:rsidRPr="00FA7175">
              <w:rPr>
                <w:i/>
                <w:iCs/>
              </w:rPr>
              <w:t>Implement Zero Trust Network Access</w:t>
            </w:r>
          </w:p>
        </w:tc>
      </w:tr>
      <w:tr w:rsidR="004B1C47" w14:paraId="2C709CC7" w14:textId="77777777" w:rsidTr="004B1C47">
        <w:trPr>
          <w:trHeight w:val="70"/>
        </w:trPr>
        <w:tc>
          <w:tcPr>
            <w:tcW w:w="1181" w:type="dxa"/>
            <w:shd w:val="clear" w:color="auto" w:fill="auto"/>
          </w:tcPr>
          <w:p w14:paraId="297B8C5C" w14:textId="77777777" w:rsidR="004B1C47" w:rsidRPr="00FA7175" w:rsidRDefault="004B1C47" w:rsidP="006E60FE">
            <w:pPr>
              <w:rPr>
                <w:i/>
                <w:iCs/>
              </w:rPr>
            </w:pPr>
            <w:r w:rsidRPr="00FA7175">
              <w:rPr>
                <w:i/>
                <w:iCs/>
              </w:rPr>
              <w:t>Preferred</w:t>
            </w:r>
          </w:p>
        </w:tc>
        <w:tc>
          <w:tcPr>
            <w:tcW w:w="5474" w:type="dxa"/>
            <w:shd w:val="clear" w:color="auto" w:fill="auto"/>
          </w:tcPr>
          <w:p w14:paraId="03C4608B" w14:textId="4ED5AA7B" w:rsidR="004B1C47" w:rsidRPr="00FA7175" w:rsidRDefault="004B1C47" w:rsidP="006E60FE">
            <w:pPr>
              <w:rPr>
                <w:i/>
                <w:iCs/>
              </w:rPr>
            </w:pPr>
            <w:r>
              <w:rPr>
                <w:i/>
                <w:iCs/>
              </w:rPr>
              <w:t xml:space="preserve">Functionality Equivalent to </w:t>
            </w:r>
            <w:r w:rsidRPr="00FA7175">
              <w:rPr>
                <w:i/>
                <w:iCs/>
              </w:rPr>
              <w:t>Software Defined Wide Area Networking (SDWAN)</w:t>
            </w:r>
          </w:p>
        </w:tc>
      </w:tr>
      <w:bookmarkEnd w:id="3"/>
    </w:tbl>
    <w:p w14:paraId="28EDCE49" w14:textId="460F9E0A" w:rsidR="00AE6381" w:rsidRDefault="00AE6381">
      <w:r>
        <w:br w:type="page"/>
      </w:r>
    </w:p>
    <w:p w14:paraId="78A1B03D" w14:textId="30EE77C0" w:rsidR="00720724" w:rsidRDefault="0042297B" w:rsidP="00630E8D">
      <w:pPr>
        <w:pStyle w:val="Heading1"/>
      </w:pPr>
      <w:r>
        <w:lastRenderedPageBreak/>
        <w:t>Campus</w:t>
      </w:r>
      <w:r w:rsidR="00F90BF0">
        <w:t xml:space="preserve"> List </w:t>
      </w:r>
    </w:p>
    <w:tbl>
      <w:tblPr>
        <w:tblStyle w:val="TableGrid"/>
        <w:tblW w:w="10885" w:type="dxa"/>
        <w:tblLook w:val="04A0" w:firstRow="1" w:lastRow="0" w:firstColumn="1" w:lastColumn="0" w:noHBand="0" w:noVBand="1"/>
      </w:tblPr>
      <w:tblGrid>
        <w:gridCol w:w="2584"/>
        <w:gridCol w:w="4173"/>
        <w:gridCol w:w="1382"/>
        <w:gridCol w:w="1396"/>
        <w:gridCol w:w="1350"/>
      </w:tblGrid>
      <w:tr w:rsidR="00CD336F" w14:paraId="5279C005" w14:textId="77777777" w:rsidTr="00CD336F">
        <w:trPr>
          <w:trHeight w:val="55"/>
        </w:trPr>
        <w:tc>
          <w:tcPr>
            <w:tcW w:w="2584" w:type="dxa"/>
          </w:tcPr>
          <w:p w14:paraId="6DF31F39" w14:textId="71443DBD" w:rsidR="00CD336F" w:rsidRPr="00FA6F7B" w:rsidRDefault="00CD336F" w:rsidP="00F90BF0">
            <w:pPr>
              <w:jc w:val="center"/>
              <w:rPr>
                <w:b/>
                <w:bCs/>
              </w:rPr>
            </w:pPr>
            <w:r>
              <w:rPr>
                <w:b/>
                <w:bCs/>
              </w:rPr>
              <w:t>Campus Name</w:t>
            </w:r>
          </w:p>
        </w:tc>
        <w:tc>
          <w:tcPr>
            <w:tcW w:w="4173" w:type="dxa"/>
          </w:tcPr>
          <w:p w14:paraId="2301D2B5" w14:textId="77777777" w:rsidR="00CD336F" w:rsidRPr="00FA6F7B" w:rsidRDefault="00CD336F" w:rsidP="00F90BF0">
            <w:pPr>
              <w:jc w:val="center"/>
              <w:rPr>
                <w:b/>
                <w:bCs/>
              </w:rPr>
            </w:pPr>
            <w:r w:rsidRPr="00FA6F7B">
              <w:rPr>
                <w:b/>
                <w:bCs/>
              </w:rPr>
              <w:t>Address</w:t>
            </w:r>
          </w:p>
        </w:tc>
        <w:tc>
          <w:tcPr>
            <w:tcW w:w="1382" w:type="dxa"/>
          </w:tcPr>
          <w:p w14:paraId="04EC8B36" w14:textId="5233CDE6" w:rsidR="00CD336F" w:rsidRDefault="00CD336F" w:rsidP="00F90BF0">
            <w:pPr>
              <w:jc w:val="center"/>
              <w:rPr>
                <w:b/>
                <w:bCs/>
              </w:rPr>
            </w:pPr>
            <w:r>
              <w:rPr>
                <w:b/>
                <w:bCs/>
              </w:rPr>
              <w:t>DIA Quote 1</w:t>
            </w:r>
          </w:p>
        </w:tc>
        <w:tc>
          <w:tcPr>
            <w:tcW w:w="1396" w:type="dxa"/>
          </w:tcPr>
          <w:p w14:paraId="58A22A26" w14:textId="1F1EFAB8" w:rsidR="00CD336F" w:rsidRDefault="00CD336F" w:rsidP="00F90BF0">
            <w:pPr>
              <w:jc w:val="center"/>
              <w:rPr>
                <w:b/>
                <w:bCs/>
              </w:rPr>
            </w:pPr>
            <w:r>
              <w:rPr>
                <w:b/>
                <w:bCs/>
              </w:rPr>
              <w:t>DIA Quote 2</w:t>
            </w:r>
          </w:p>
        </w:tc>
        <w:tc>
          <w:tcPr>
            <w:tcW w:w="1350" w:type="dxa"/>
          </w:tcPr>
          <w:p w14:paraId="17FD2D1E" w14:textId="0B0BCD60" w:rsidR="00CD336F" w:rsidRPr="00FA6F7B" w:rsidRDefault="00CD336F" w:rsidP="00F90BF0">
            <w:pPr>
              <w:jc w:val="center"/>
              <w:rPr>
                <w:b/>
                <w:bCs/>
              </w:rPr>
            </w:pPr>
            <w:r>
              <w:rPr>
                <w:b/>
                <w:bCs/>
              </w:rPr>
              <w:t>DIA Quote 3</w:t>
            </w:r>
          </w:p>
        </w:tc>
      </w:tr>
      <w:tr w:rsidR="00CD336F" w14:paraId="2733FBF2" w14:textId="77777777" w:rsidTr="00CD336F">
        <w:trPr>
          <w:trHeight w:val="98"/>
        </w:trPr>
        <w:tc>
          <w:tcPr>
            <w:tcW w:w="2584" w:type="dxa"/>
            <w:vAlign w:val="center"/>
          </w:tcPr>
          <w:p w14:paraId="23C850BE" w14:textId="77777777" w:rsidR="00CD336F" w:rsidRDefault="00CD336F" w:rsidP="00DC1169">
            <w:r w:rsidRPr="006B0876">
              <w:rPr>
                <w:rFonts w:ascii="Calibri" w:eastAsia="Times New Roman" w:hAnsi="Calibri" w:cs="Calibri"/>
                <w:color w:val="000000"/>
              </w:rPr>
              <w:t>West</w:t>
            </w:r>
          </w:p>
        </w:tc>
        <w:tc>
          <w:tcPr>
            <w:tcW w:w="4173" w:type="dxa"/>
            <w:vAlign w:val="bottom"/>
          </w:tcPr>
          <w:p w14:paraId="56CE4318" w14:textId="77777777" w:rsidR="00CD336F" w:rsidRDefault="00CD336F" w:rsidP="00BF6164">
            <w:r w:rsidRPr="006B0876">
              <w:rPr>
                <w:rFonts w:ascii="Calibri" w:eastAsia="Times New Roman" w:hAnsi="Calibri" w:cs="Calibri"/>
                <w:color w:val="000000"/>
              </w:rPr>
              <w:t xml:space="preserve">10535 </w:t>
            </w:r>
            <w:proofErr w:type="spellStart"/>
            <w:r w:rsidRPr="006B0876">
              <w:rPr>
                <w:rFonts w:ascii="Calibri" w:eastAsia="Times New Roman" w:hAnsi="Calibri" w:cs="Calibri"/>
                <w:color w:val="000000"/>
              </w:rPr>
              <w:t>Harwin</w:t>
            </w:r>
            <w:proofErr w:type="spellEnd"/>
            <w:r w:rsidRPr="006B0876">
              <w:rPr>
                <w:rFonts w:ascii="Calibri" w:eastAsia="Times New Roman" w:hAnsi="Calibri" w:cs="Calibri"/>
                <w:color w:val="000000"/>
              </w:rPr>
              <w:t xml:space="preserve"> Drive, Houston, Texas 77036</w:t>
            </w:r>
          </w:p>
        </w:tc>
        <w:tc>
          <w:tcPr>
            <w:tcW w:w="1382" w:type="dxa"/>
          </w:tcPr>
          <w:p w14:paraId="6C0474B4" w14:textId="62B7DCE5" w:rsidR="00CD336F" w:rsidRDefault="00CD336F" w:rsidP="00F90BF0">
            <w:pPr>
              <w:jc w:val="center"/>
            </w:pPr>
            <w:r>
              <w:t>1 Gbps</w:t>
            </w:r>
          </w:p>
        </w:tc>
        <w:tc>
          <w:tcPr>
            <w:tcW w:w="1396" w:type="dxa"/>
          </w:tcPr>
          <w:p w14:paraId="40262A50" w14:textId="7A8D3C0D" w:rsidR="00CD336F" w:rsidRDefault="00CD336F" w:rsidP="00F90BF0">
            <w:pPr>
              <w:jc w:val="center"/>
            </w:pPr>
            <w:r>
              <w:t>5 Gbps</w:t>
            </w:r>
          </w:p>
        </w:tc>
        <w:tc>
          <w:tcPr>
            <w:tcW w:w="1350" w:type="dxa"/>
          </w:tcPr>
          <w:p w14:paraId="41F0C0CB" w14:textId="61612958" w:rsidR="00CD336F" w:rsidRDefault="00CD336F" w:rsidP="00F90BF0">
            <w:pPr>
              <w:jc w:val="center"/>
            </w:pPr>
            <w:r>
              <w:t>10 Gbps</w:t>
            </w:r>
          </w:p>
        </w:tc>
      </w:tr>
      <w:tr w:rsidR="00CD336F" w14:paraId="7139CF21" w14:textId="77777777" w:rsidTr="00CD336F">
        <w:trPr>
          <w:trHeight w:val="179"/>
        </w:trPr>
        <w:tc>
          <w:tcPr>
            <w:tcW w:w="2584" w:type="dxa"/>
            <w:vAlign w:val="center"/>
          </w:tcPr>
          <w:p w14:paraId="10553BAC" w14:textId="77777777" w:rsidR="00CD336F" w:rsidRDefault="00CD336F" w:rsidP="00CD336F">
            <w:r w:rsidRPr="006B0876">
              <w:rPr>
                <w:rFonts w:ascii="Calibri" w:eastAsia="Times New Roman" w:hAnsi="Calibri" w:cs="Calibri"/>
                <w:color w:val="000000"/>
              </w:rPr>
              <w:t>Fifth Ward</w:t>
            </w:r>
          </w:p>
        </w:tc>
        <w:tc>
          <w:tcPr>
            <w:tcW w:w="4173" w:type="dxa"/>
            <w:vAlign w:val="bottom"/>
          </w:tcPr>
          <w:p w14:paraId="30DEF746" w14:textId="77777777" w:rsidR="00CD336F" w:rsidRDefault="00CD336F" w:rsidP="00CD336F">
            <w:r w:rsidRPr="006B0876">
              <w:rPr>
                <w:rFonts w:ascii="Calibri" w:eastAsia="Times New Roman" w:hAnsi="Calibri" w:cs="Calibri"/>
                <w:color w:val="000000"/>
              </w:rPr>
              <w:t>1305 Benson Street, Houston, Texas 77020</w:t>
            </w:r>
          </w:p>
        </w:tc>
        <w:tc>
          <w:tcPr>
            <w:tcW w:w="1382" w:type="dxa"/>
          </w:tcPr>
          <w:p w14:paraId="7F3ECF4C" w14:textId="1A7F0F29" w:rsidR="00CD336F" w:rsidRPr="00E43729" w:rsidRDefault="00CD336F" w:rsidP="00CD336F">
            <w:pPr>
              <w:jc w:val="center"/>
            </w:pPr>
            <w:r w:rsidRPr="003D2517">
              <w:t>1 Gbps</w:t>
            </w:r>
          </w:p>
        </w:tc>
        <w:tc>
          <w:tcPr>
            <w:tcW w:w="1396" w:type="dxa"/>
          </w:tcPr>
          <w:p w14:paraId="3C057900" w14:textId="430F005B" w:rsidR="00CD336F" w:rsidRPr="00E43729" w:rsidRDefault="00CD336F" w:rsidP="00CD336F">
            <w:pPr>
              <w:jc w:val="center"/>
            </w:pPr>
            <w:r w:rsidRPr="00283D61">
              <w:t>5 Gbps</w:t>
            </w:r>
          </w:p>
        </w:tc>
        <w:tc>
          <w:tcPr>
            <w:tcW w:w="1350" w:type="dxa"/>
          </w:tcPr>
          <w:p w14:paraId="74C0FE56" w14:textId="74884E13" w:rsidR="00CD336F" w:rsidRDefault="00CD336F" w:rsidP="00CD336F">
            <w:pPr>
              <w:jc w:val="center"/>
            </w:pPr>
            <w:r w:rsidRPr="00E43729">
              <w:t>10 Gbps</w:t>
            </w:r>
          </w:p>
        </w:tc>
      </w:tr>
      <w:tr w:rsidR="00CD336F" w14:paraId="3A38EB00" w14:textId="77777777" w:rsidTr="00CD336F">
        <w:trPr>
          <w:trHeight w:val="55"/>
        </w:trPr>
        <w:tc>
          <w:tcPr>
            <w:tcW w:w="2584" w:type="dxa"/>
            <w:vAlign w:val="center"/>
          </w:tcPr>
          <w:p w14:paraId="51CC2903"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North Central Secondary</w:t>
            </w:r>
          </w:p>
        </w:tc>
        <w:tc>
          <w:tcPr>
            <w:tcW w:w="4173" w:type="dxa"/>
            <w:vAlign w:val="bottom"/>
          </w:tcPr>
          <w:p w14:paraId="204E3407"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13703 Aldine Westfield Road, Houston, TX 77039</w:t>
            </w:r>
          </w:p>
        </w:tc>
        <w:tc>
          <w:tcPr>
            <w:tcW w:w="1382" w:type="dxa"/>
          </w:tcPr>
          <w:p w14:paraId="7C30A30A" w14:textId="177551BE" w:rsidR="00CD336F" w:rsidRPr="00E43729" w:rsidRDefault="00CD336F" w:rsidP="00CD336F">
            <w:pPr>
              <w:jc w:val="center"/>
            </w:pPr>
            <w:r w:rsidRPr="003D2517">
              <w:t>1 Gbps</w:t>
            </w:r>
          </w:p>
        </w:tc>
        <w:tc>
          <w:tcPr>
            <w:tcW w:w="1396" w:type="dxa"/>
          </w:tcPr>
          <w:p w14:paraId="5CC4AE5E" w14:textId="318D6CF1" w:rsidR="00CD336F" w:rsidRPr="00E43729" w:rsidRDefault="00CD336F" w:rsidP="00CD336F">
            <w:pPr>
              <w:jc w:val="center"/>
            </w:pPr>
            <w:r w:rsidRPr="00283D61">
              <w:t>5 Gbps</w:t>
            </w:r>
          </w:p>
        </w:tc>
        <w:tc>
          <w:tcPr>
            <w:tcW w:w="1350" w:type="dxa"/>
          </w:tcPr>
          <w:p w14:paraId="732EC582" w14:textId="0CAD1577" w:rsidR="00CD336F" w:rsidRDefault="00CD336F" w:rsidP="00CD336F">
            <w:pPr>
              <w:jc w:val="center"/>
            </w:pPr>
            <w:r w:rsidRPr="00E43729">
              <w:t>10 Gbps</w:t>
            </w:r>
          </w:p>
        </w:tc>
      </w:tr>
      <w:tr w:rsidR="00CD336F" w14:paraId="59A6606C" w14:textId="77777777" w:rsidTr="00CD336F">
        <w:trPr>
          <w:trHeight w:val="71"/>
        </w:trPr>
        <w:tc>
          <w:tcPr>
            <w:tcW w:w="2584" w:type="dxa"/>
            <w:vAlign w:val="center"/>
          </w:tcPr>
          <w:p w14:paraId="349C4235"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Northwest</w:t>
            </w:r>
          </w:p>
        </w:tc>
        <w:tc>
          <w:tcPr>
            <w:tcW w:w="4173" w:type="dxa"/>
            <w:vAlign w:val="bottom"/>
          </w:tcPr>
          <w:p w14:paraId="69A4B19C"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14741 Yorktown Plaza Drive, Houston, Texas 77040</w:t>
            </w:r>
          </w:p>
        </w:tc>
        <w:tc>
          <w:tcPr>
            <w:tcW w:w="1382" w:type="dxa"/>
          </w:tcPr>
          <w:p w14:paraId="7CE0B56E" w14:textId="0ACDA232" w:rsidR="00CD336F" w:rsidRPr="00E43729" w:rsidRDefault="00CD336F" w:rsidP="00CD336F">
            <w:pPr>
              <w:jc w:val="center"/>
            </w:pPr>
            <w:r w:rsidRPr="003D2517">
              <w:t>1 Gbps</w:t>
            </w:r>
          </w:p>
        </w:tc>
        <w:tc>
          <w:tcPr>
            <w:tcW w:w="1396" w:type="dxa"/>
          </w:tcPr>
          <w:p w14:paraId="5FC2D959" w14:textId="199927C7" w:rsidR="00CD336F" w:rsidRPr="00E43729" w:rsidRDefault="00CD336F" w:rsidP="00CD336F">
            <w:pPr>
              <w:jc w:val="center"/>
            </w:pPr>
            <w:r w:rsidRPr="00283D61">
              <w:t>5 Gbps</w:t>
            </w:r>
          </w:p>
        </w:tc>
        <w:tc>
          <w:tcPr>
            <w:tcW w:w="1350" w:type="dxa"/>
          </w:tcPr>
          <w:p w14:paraId="6E3E9D03" w14:textId="30624F01" w:rsidR="00CD336F" w:rsidRDefault="00CD336F" w:rsidP="00CD336F">
            <w:pPr>
              <w:jc w:val="center"/>
            </w:pPr>
            <w:r w:rsidRPr="00C72AA6">
              <w:t>10 Gbps</w:t>
            </w:r>
          </w:p>
        </w:tc>
      </w:tr>
      <w:tr w:rsidR="00CD336F" w14:paraId="62FCAF5B" w14:textId="77777777" w:rsidTr="00CD336F">
        <w:trPr>
          <w:trHeight w:val="55"/>
        </w:trPr>
        <w:tc>
          <w:tcPr>
            <w:tcW w:w="2584" w:type="dxa"/>
            <w:vAlign w:val="center"/>
          </w:tcPr>
          <w:p w14:paraId="5ECE034C"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North Central Elementary</w:t>
            </w:r>
          </w:p>
        </w:tc>
        <w:tc>
          <w:tcPr>
            <w:tcW w:w="4173" w:type="dxa"/>
            <w:vAlign w:val="bottom"/>
          </w:tcPr>
          <w:p w14:paraId="20616250"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1900 Strawn Road, Houston, Texas 77039</w:t>
            </w:r>
          </w:p>
        </w:tc>
        <w:tc>
          <w:tcPr>
            <w:tcW w:w="1382" w:type="dxa"/>
          </w:tcPr>
          <w:p w14:paraId="183ECFC2" w14:textId="0DD4062C" w:rsidR="00CD336F" w:rsidRPr="00E43729" w:rsidRDefault="00CD336F" w:rsidP="00CD336F">
            <w:pPr>
              <w:jc w:val="center"/>
            </w:pPr>
            <w:r w:rsidRPr="003D2517">
              <w:t>1 Gbps</w:t>
            </w:r>
          </w:p>
        </w:tc>
        <w:tc>
          <w:tcPr>
            <w:tcW w:w="1396" w:type="dxa"/>
          </w:tcPr>
          <w:p w14:paraId="75D8C818" w14:textId="2397C90C" w:rsidR="00CD336F" w:rsidRPr="00E43729" w:rsidRDefault="00CD336F" w:rsidP="00CD336F">
            <w:pPr>
              <w:jc w:val="center"/>
            </w:pPr>
            <w:r w:rsidRPr="00283D61">
              <w:t>5 Gbps</w:t>
            </w:r>
          </w:p>
        </w:tc>
        <w:tc>
          <w:tcPr>
            <w:tcW w:w="1350" w:type="dxa"/>
          </w:tcPr>
          <w:p w14:paraId="53055986" w14:textId="5DDAF460" w:rsidR="00CD336F" w:rsidRDefault="00CD336F" w:rsidP="00CD336F">
            <w:pPr>
              <w:jc w:val="center"/>
            </w:pPr>
            <w:r w:rsidRPr="00C72AA6">
              <w:t>10 Gbps</w:t>
            </w:r>
          </w:p>
        </w:tc>
      </w:tr>
      <w:tr w:rsidR="00CD336F" w14:paraId="4E9EF959" w14:textId="77777777" w:rsidTr="00CD336F">
        <w:trPr>
          <w:trHeight w:val="55"/>
        </w:trPr>
        <w:tc>
          <w:tcPr>
            <w:tcW w:w="2584" w:type="dxa"/>
            <w:vAlign w:val="center"/>
          </w:tcPr>
          <w:p w14:paraId="12E028DA"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Southeast</w:t>
            </w:r>
          </w:p>
        </w:tc>
        <w:tc>
          <w:tcPr>
            <w:tcW w:w="4173" w:type="dxa"/>
            <w:vAlign w:val="bottom"/>
          </w:tcPr>
          <w:p w14:paraId="3C8BF129"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353 Crenshaw Road, Houston, Texas 77034</w:t>
            </w:r>
          </w:p>
        </w:tc>
        <w:tc>
          <w:tcPr>
            <w:tcW w:w="1382" w:type="dxa"/>
          </w:tcPr>
          <w:p w14:paraId="32502347" w14:textId="19FD8DB2" w:rsidR="00CD336F" w:rsidRPr="00E43729" w:rsidRDefault="00CD336F" w:rsidP="00CD336F">
            <w:pPr>
              <w:jc w:val="center"/>
            </w:pPr>
            <w:r w:rsidRPr="003D2517">
              <w:t>1 Gbps</w:t>
            </w:r>
          </w:p>
        </w:tc>
        <w:tc>
          <w:tcPr>
            <w:tcW w:w="1396" w:type="dxa"/>
          </w:tcPr>
          <w:p w14:paraId="2B61F604" w14:textId="11089D57" w:rsidR="00CD336F" w:rsidRPr="00E43729" w:rsidRDefault="00CD336F" w:rsidP="00CD336F">
            <w:pPr>
              <w:jc w:val="center"/>
            </w:pPr>
            <w:r w:rsidRPr="00283D61">
              <w:t>5 Gbps</w:t>
            </w:r>
          </w:p>
        </w:tc>
        <w:tc>
          <w:tcPr>
            <w:tcW w:w="1350" w:type="dxa"/>
          </w:tcPr>
          <w:p w14:paraId="5FAF940D" w14:textId="61BDA141" w:rsidR="00CD336F" w:rsidRDefault="00CD336F" w:rsidP="00CD336F">
            <w:pPr>
              <w:jc w:val="center"/>
            </w:pPr>
            <w:r w:rsidRPr="00C72AA6">
              <w:t>10 Gbps</w:t>
            </w:r>
          </w:p>
        </w:tc>
      </w:tr>
      <w:tr w:rsidR="00CD336F" w14:paraId="6541A24A" w14:textId="77777777" w:rsidTr="00CD336F">
        <w:trPr>
          <w:trHeight w:val="116"/>
        </w:trPr>
        <w:tc>
          <w:tcPr>
            <w:tcW w:w="2584" w:type="dxa"/>
            <w:vAlign w:val="center"/>
          </w:tcPr>
          <w:p w14:paraId="43D09CC7"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Southwest</w:t>
            </w:r>
          </w:p>
        </w:tc>
        <w:tc>
          <w:tcPr>
            <w:tcW w:w="4173" w:type="dxa"/>
            <w:vAlign w:val="bottom"/>
          </w:tcPr>
          <w:p w14:paraId="351B6924"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4411 Anderson Road, Houston, Texas 77053</w:t>
            </w:r>
          </w:p>
        </w:tc>
        <w:tc>
          <w:tcPr>
            <w:tcW w:w="1382" w:type="dxa"/>
          </w:tcPr>
          <w:p w14:paraId="3D3DA56B" w14:textId="2F31929F" w:rsidR="00CD336F" w:rsidRPr="00E43729" w:rsidRDefault="00CD336F" w:rsidP="00CD336F">
            <w:pPr>
              <w:jc w:val="center"/>
            </w:pPr>
            <w:r w:rsidRPr="003D2517">
              <w:t>1 Gbps</w:t>
            </w:r>
          </w:p>
        </w:tc>
        <w:tc>
          <w:tcPr>
            <w:tcW w:w="1396" w:type="dxa"/>
          </w:tcPr>
          <w:p w14:paraId="5E4CC809" w14:textId="1288CD21" w:rsidR="00CD336F" w:rsidRPr="00E43729" w:rsidRDefault="00CD336F" w:rsidP="00CD336F">
            <w:pPr>
              <w:jc w:val="center"/>
            </w:pPr>
            <w:r w:rsidRPr="00283D61">
              <w:t>5 Gbps</w:t>
            </w:r>
          </w:p>
        </w:tc>
        <w:tc>
          <w:tcPr>
            <w:tcW w:w="1350" w:type="dxa"/>
          </w:tcPr>
          <w:p w14:paraId="779D64AA" w14:textId="2CBF124F" w:rsidR="00CD336F" w:rsidRDefault="00CD336F" w:rsidP="00CD336F">
            <w:pPr>
              <w:jc w:val="center"/>
            </w:pPr>
            <w:r w:rsidRPr="00C72AA6">
              <w:t>10 Gbps</w:t>
            </w:r>
          </w:p>
        </w:tc>
      </w:tr>
      <w:tr w:rsidR="00CD336F" w14:paraId="496C7D48" w14:textId="77777777" w:rsidTr="00CD336F">
        <w:trPr>
          <w:trHeight w:val="55"/>
        </w:trPr>
        <w:tc>
          <w:tcPr>
            <w:tcW w:w="2584" w:type="dxa"/>
            <w:vAlign w:val="center"/>
          </w:tcPr>
          <w:p w14:paraId="21FBE94B" w14:textId="77777777" w:rsidR="00CD336F" w:rsidRPr="006B0876" w:rsidRDefault="0065453C" w:rsidP="00CD336F">
            <w:pPr>
              <w:rPr>
                <w:rFonts w:ascii="Calibri" w:eastAsia="Times New Roman" w:hAnsi="Calibri" w:cs="Calibri"/>
                <w:color w:val="000000"/>
              </w:rPr>
            </w:pPr>
            <w:hyperlink r:id="rId12" w:history="1">
              <w:r w:rsidR="00CD336F" w:rsidRPr="006B0876">
                <w:rPr>
                  <w:rFonts w:ascii="Calibri" w:eastAsia="Times New Roman" w:hAnsi="Calibri" w:cs="Calibri"/>
                  <w:color w:val="000000"/>
                </w:rPr>
                <w:t>Southeast Elementary</w:t>
              </w:r>
            </w:hyperlink>
          </w:p>
        </w:tc>
        <w:tc>
          <w:tcPr>
            <w:tcW w:w="4173" w:type="dxa"/>
            <w:vAlign w:val="bottom"/>
          </w:tcPr>
          <w:p w14:paraId="5831B81D"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507 Crenshaw Road, Houston, Texas 77034</w:t>
            </w:r>
          </w:p>
        </w:tc>
        <w:tc>
          <w:tcPr>
            <w:tcW w:w="1382" w:type="dxa"/>
          </w:tcPr>
          <w:p w14:paraId="7C32AD3B" w14:textId="1BD2B701" w:rsidR="00CD336F" w:rsidRPr="00E43729" w:rsidRDefault="00CD336F" w:rsidP="00CD336F">
            <w:pPr>
              <w:jc w:val="center"/>
            </w:pPr>
            <w:r w:rsidRPr="003D2517">
              <w:t>1 Gbps</w:t>
            </w:r>
          </w:p>
        </w:tc>
        <w:tc>
          <w:tcPr>
            <w:tcW w:w="1396" w:type="dxa"/>
          </w:tcPr>
          <w:p w14:paraId="68ADBC66" w14:textId="25321925" w:rsidR="00CD336F" w:rsidRPr="00E43729" w:rsidRDefault="00CD336F" w:rsidP="00CD336F">
            <w:pPr>
              <w:jc w:val="center"/>
            </w:pPr>
            <w:r w:rsidRPr="00283D61">
              <w:t>5 Gbps</w:t>
            </w:r>
          </w:p>
        </w:tc>
        <w:tc>
          <w:tcPr>
            <w:tcW w:w="1350" w:type="dxa"/>
          </w:tcPr>
          <w:p w14:paraId="06711086" w14:textId="3C971CAB" w:rsidR="00CD336F" w:rsidRDefault="00CD336F" w:rsidP="00CD336F">
            <w:pPr>
              <w:jc w:val="center"/>
            </w:pPr>
            <w:r w:rsidRPr="00C72AA6">
              <w:t>10 Gbps</w:t>
            </w:r>
          </w:p>
        </w:tc>
      </w:tr>
      <w:tr w:rsidR="00CD336F" w14:paraId="5E6F0B0C" w14:textId="77777777" w:rsidTr="00CD336F">
        <w:trPr>
          <w:trHeight w:val="55"/>
        </w:trPr>
        <w:tc>
          <w:tcPr>
            <w:tcW w:w="2584" w:type="dxa"/>
            <w:vAlign w:val="center"/>
          </w:tcPr>
          <w:p w14:paraId="620F201A"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Northside</w:t>
            </w:r>
          </w:p>
        </w:tc>
        <w:tc>
          <w:tcPr>
            <w:tcW w:w="4173" w:type="dxa"/>
            <w:vAlign w:val="bottom"/>
          </w:tcPr>
          <w:p w14:paraId="794F6354"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5215 Jensen Drive, Houston, Texas 77026</w:t>
            </w:r>
          </w:p>
        </w:tc>
        <w:tc>
          <w:tcPr>
            <w:tcW w:w="1382" w:type="dxa"/>
          </w:tcPr>
          <w:p w14:paraId="6811C7ED" w14:textId="7DC361A6" w:rsidR="00CD336F" w:rsidRPr="00E43729" w:rsidRDefault="00CD336F" w:rsidP="00CD336F">
            <w:pPr>
              <w:jc w:val="center"/>
            </w:pPr>
            <w:r w:rsidRPr="003D2517">
              <w:t>1 Gbps</w:t>
            </w:r>
          </w:p>
        </w:tc>
        <w:tc>
          <w:tcPr>
            <w:tcW w:w="1396" w:type="dxa"/>
          </w:tcPr>
          <w:p w14:paraId="52D1FE42" w14:textId="0DFB7616" w:rsidR="00CD336F" w:rsidRPr="00E43729" w:rsidRDefault="00CD336F" w:rsidP="00CD336F">
            <w:pPr>
              <w:jc w:val="center"/>
            </w:pPr>
            <w:r w:rsidRPr="00283D61">
              <w:t>5 Gbps</w:t>
            </w:r>
          </w:p>
        </w:tc>
        <w:tc>
          <w:tcPr>
            <w:tcW w:w="1350" w:type="dxa"/>
          </w:tcPr>
          <w:p w14:paraId="75A27E34" w14:textId="3483DF44" w:rsidR="00CD336F" w:rsidRDefault="00CD336F" w:rsidP="00CD336F">
            <w:pPr>
              <w:jc w:val="center"/>
            </w:pPr>
            <w:r w:rsidRPr="00C72AA6">
              <w:t>10 Gbps</w:t>
            </w:r>
          </w:p>
        </w:tc>
      </w:tr>
      <w:tr w:rsidR="00CD336F" w14:paraId="1B5EBC91" w14:textId="77777777" w:rsidTr="00CD336F">
        <w:trPr>
          <w:trHeight w:val="80"/>
        </w:trPr>
        <w:tc>
          <w:tcPr>
            <w:tcW w:w="2584" w:type="dxa"/>
            <w:vAlign w:val="center"/>
          </w:tcPr>
          <w:p w14:paraId="6507C62A"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rPr>
              <w:t>Home Office</w:t>
            </w:r>
          </w:p>
        </w:tc>
        <w:tc>
          <w:tcPr>
            <w:tcW w:w="4173" w:type="dxa"/>
            <w:vAlign w:val="bottom"/>
          </w:tcPr>
          <w:p w14:paraId="764A2E4B"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5455 South Loop E Fwy, Houston, TX 77033</w:t>
            </w:r>
          </w:p>
        </w:tc>
        <w:tc>
          <w:tcPr>
            <w:tcW w:w="1382" w:type="dxa"/>
          </w:tcPr>
          <w:p w14:paraId="65FAB03C" w14:textId="4B8617AA" w:rsidR="00CD336F" w:rsidRPr="00E43729" w:rsidRDefault="00CD336F" w:rsidP="00CD336F">
            <w:pPr>
              <w:jc w:val="center"/>
            </w:pPr>
            <w:r w:rsidRPr="003D2517">
              <w:t>1 Gbps</w:t>
            </w:r>
          </w:p>
        </w:tc>
        <w:tc>
          <w:tcPr>
            <w:tcW w:w="1396" w:type="dxa"/>
          </w:tcPr>
          <w:p w14:paraId="37E30E93" w14:textId="02EDF513" w:rsidR="00CD336F" w:rsidRPr="00E43729" w:rsidRDefault="00CD336F" w:rsidP="00CD336F">
            <w:pPr>
              <w:jc w:val="center"/>
            </w:pPr>
            <w:r w:rsidRPr="00283D61">
              <w:t>5 Gbps</w:t>
            </w:r>
          </w:p>
        </w:tc>
        <w:tc>
          <w:tcPr>
            <w:tcW w:w="1350" w:type="dxa"/>
          </w:tcPr>
          <w:p w14:paraId="16DEE8D0" w14:textId="52638A9F" w:rsidR="00CD336F" w:rsidRDefault="00CD336F" w:rsidP="00CD336F">
            <w:pPr>
              <w:jc w:val="center"/>
            </w:pPr>
            <w:r w:rsidRPr="00C72AA6">
              <w:t>10 Gbps</w:t>
            </w:r>
          </w:p>
        </w:tc>
      </w:tr>
      <w:tr w:rsidR="00CD336F" w14:paraId="3E80FEF9" w14:textId="77777777" w:rsidTr="00CD336F">
        <w:trPr>
          <w:trHeight w:val="55"/>
        </w:trPr>
        <w:tc>
          <w:tcPr>
            <w:tcW w:w="2584" w:type="dxa"/>
            <w:vAlign w:val="center"/>
          </w:tcPr>
          <w:p w14:paraId="1C74C1F3" w14:textId="77777777" w:rsidR="00CD336F" w:rsidRPr="006B0876" w:rsidRDefault="00CD336F" w:rsidP="00CD336F">
            <w:pPr>
              <w:rPr>
                <w:rFonts w:ascii="Calibri" w:eastAsia="Times New Roman" w:hAnsi="Calibri" w:cs="Calibri"/>
              </w:rPr>
            </w:pPr>
            <w:r w:rsidRPr="006B0876">
              <w:rPr>
                <w:rFonts w:ascii="Calibri" w:eastAsia="Times New Roman" w:hAnsi="Calibri" w:cs="Calibri"/>
                <w:color w:val="000000"/>
              </w:rPr>
              <w:t>Southside</w:t>
            </w:r>
          </w:p>
        </w:tc>
        <w:tc>
          <w:tcPr>
            <w:tcW w:w="4173" w:type="dxa"/>
            <w:vAlign w:val="bottom"/>
          </w:tcPr>
          <w:p w14:paraId="464139E4"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5515 South Loop E Fwy, Suite A, Houston, TX 77033</w:t>
            </w:r>
          </w:p>
        </w:tc>
        <w:tc>
          <w:tcPr>
            <w:tcW w:w="1382" w:type="dxa"/>
          </w:tcPr>
          <w:p w14:paraId="0EC0438A" w14:textId="7246A00F" w:rsidR="00CD336F" w:rsidRPr="00E43729" w:rsidRDefault="00CD336F" w:rsidP="00CD336F">
            <w:pPr>
              <w:jc w:val="center"/>
            </w:pPr>
            <w:r w:rsidRPr="003D2517">
              <w:t>1 Gbps</w:t>
            </w:r>
          </w:p>
        </w:tc>
        <w:tc>
          <w:tcPr>
            <w:tcW w:w="1396" w:type="dxa"/>
          </w:tcPr>
          <w:p w14:paraId="50CEF7A0" w14:textId="7DDF8D86" w:rsidR="00CD336F" w:rsidRPr="00E43729" w:rsidRDefault="00CD336F" w:rsidP="00CD336F">
            <w:pPr>
              <w:jc w:val="center"/>
            </w:pPr>
            <w:r w:rsidRPr="00283D61">
              <w:t>5 Gbps</w:t>
            </w:r>
          </w:p>
        </w:tc>
        <w:tc>
          <w:tcPr>
            <w:tcW w:w="1350" w:type="dxa"/>
          </w:tcPr>
          <w:p w14:paraId="4F56C146" w14:textId="0CA6D330" w:rsidR="00CD336F" w:rsidRDefault="00CD336F" w:rsidP="00CD336F">
            <w:pPr>
              <w:jc w:val="center"/>
            </w:pPr>
            <w:r w:rsidRPr="00C72AA6">
              <w:t>10 Gbps</w:t>
            </w:r>
          </w:p>
        </w:tc>
      </w:tr>
      <w:tr w:rsidR="00CD336F" w14:paraId="0661071A" w14:textId="77777777" w:rsidTr="00CD336F">
        <w:trPr>
          <w:trHeight w:val="55"/>
        </w:trPr>
        <w:tc>
          <w:tcPr>
            <w:tcW w:w="2584" w:type="dxa"/>
            <w:vAlign w:val="center"/>
          </w:tcPr>
          <w:p w14:paraId="75C27577" w14:textId="77777777" w:rsidR="00CD336F" w:rsidRPr="006B0876" w:rsidRDefault="00CD336F" w:rsidP="00CD336F">
            <w:pPr>
              <w:rPr>
                <w:rFonts w:ascii="Calibri" w:eastAsia="Times New Roman" w:hAnsi="Calibri" w:cs="Calibri"/>
                <w:color w:val="000000"/>
              </w:rPr>
            </w:pPr>
            <w:proofErr w:type="spellStart"/>
            <w:r w:rsidRPr="006B0876">
              <w:rPr>
                <w:rFonts w:ascii="Calibri" w:eastAsia="Times New Roman" w:hAnsi="Calibri" w:cs="Calibri"/>
              </w:rPr>
              <w:t>South</w:t>
            </w:r>
            <w:r>
              <w:rPr>
                <w:rFonts w:ascii="Calibri" w:eastAsia="Times New Roman" w:hAnsi="Calibri" w:cs="Calibri"/>
              </w:rPr>
              <w:t>S</w:t>
            </w:r>
            <w:r w:rsidRPr="006B0876">
              <w:rPr>
                <w:rFonts w:ascii="Calibri" w:eastAsia="Times New Roman" w:hAnsi="Calibri" w:cs="Calibri"/>
              </w:rPr>
              <w:t>ide</w:t>
            </w:r>
            <w:proofErr w:type="spellEnd"/>
            <w:r w:rsidRPr="006B0876">
              <w:rPr>
                <w:rFonts w:ascii="Calibri" w:eastAsia="Times New Roman" w:hAnsi="Calibri" w:cs="Calibri"/>
              </w:rPr>
              <w:t> Elementary</w:t>
            </w:r>
          </w:p>
        </w:tc>
        <w:tc>
          <w:tcPr>
            <w:tcW w:w="4173" w:type="dxa"/>
            <w:vAlign w:val="bottom"/>
          </w:tcPr>
          <w:p w14:paraId="40213C5C" w14:textId="4923FDFD"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5515 South Loop E</w:t>
            </w:r>
            <w:r>
              <w:rPr>
                <w:rFonts w:ascii="Calibri" w:eastAsia="Times New Roman" w:hAnsi="Calibri" w:cs="Calibri"/>
                <w:color w:val="000000"/>
              </w:rPr>
              <w:t xml:space="preserve"> Fwy</w:t>
            </w:r>
            <w:r w:rsidRPr="006B0876">
              <w:rPr>
                <w:rFonts w:ascii="Calibri" w:eastAsia="Times New Roman" w:hAnsi="Calibri" w:cs="Calibri"/>
                <w:color w:val="000000"/>
              </w:rPr>
              <w:t>, Suite B, Houston, T</w:t>
            </w:r>
            <w:r>
              <w:rPr>
                <w:rFonts w:ascii="Calibri" w:eastAsia="Times New Roman" w:hAnsi="Calibri" w:cs="Calibri"/>
                <w:color w:val="000000"/>
              </w:rPr>
              <w:t xml:space="preserve">X </w:t>
            </w:r>
            <w:r w:rsidRPr="006B0876">
              <w:rPr>
                <w:rFonts w:ascii="Calibri" w:eastAsia="Times New Roman" w:hAnsi="Calibri" w:cs="Calibri"/>
                <w:color w:val="000000"/>
              </w:rPr>
              <w:t>77033</w:t>
            </w:r>
          </w:p>
        </w:tc>
        <w:tc>
          <w:tcPr>
            <w:tcW w:w="1382" w:type="dxa"/>
          </w:tcPr>
          <w:p w14:paraId="50B5AF8D" w14:textId="1A774E59" w:rsidR="00CD336F" w:rsidRPr="00E43729" w:rsidRDefault="00CD336F" w:rsidP="00CD336F">
            <w:pPr>
              <w:jc w:val="center"/>
            </w:pPr>
            <w:r w:rsidRPr="003D2517">
              <w:t>1 Gbps</w:t>
            </w:r>
          </w:p>
        </w:tc>
        <w:tc>
          <w:tcPr>
            <w:tcW w:w="1396" w:type="dxa"/>
          </w:tcPr>
          <w:p w14:paraId="1A1E1EF2" w14:textId="044553A8" w:rsidR="00CD336F" w:rsidRPr="00E43729" w:rsidRDefault="00CD336F" w:rsidP="00CD336F">
            <w:pPr>
              <w:jc w:val="center"/>
            </w:pPr>
            <w:r w:rsidRPr="00283D61">
              <w:t>5 Gbps</w:t>
            </w:r>
          </w:p>
        </w:tc>
        <w:tc>
          <w:tcPr>
            <w:tcW w:w="1350" w:type="dxa"/>
          </w:tcPr>
          <w:p w14:paraId="56155F13" w14:textId="6DC1C21F" w:rsidR="00CD336F" w:rsidRDefault="00CD336F" w:rsidP="00CD336F">
            <w:pPr>
              <w:jc w:val="center"/>
            </w:pPr>
            <w:r w:rsidRPr="00C72AA6">
              <w:t>10 Gbps</w:t>
            </w:r>
          </w:p>
        </w:tc>
      </w:tr>
      <w:tr w:rsidR="00CD336F" w14:paraId="0E4E1384" w14:textId="77777777" w:rsidTr="00CD336F">
        <w:trPr>
          <w:trHeight w:val="55"/>
        </w:trPr>
        <w:tc>
          <w:tcPr>
            <w:tcW w:w="2584" w:type="dxa"/>
            <w:vAlign w:val="center"/>
          </w:tcPr>
          <w:p w14:paraId="535A141C" w14:textId="77777777" w:rsidR="00CD336F" w:rsidRPr="006B0876" w:rsidRDefault="00CD336F" w:rsidP="00CD336F">
            <w:pPr>
              <w:rPr>
                <w:rFonts w:ascii="Calibri" w:eastAsia="Times New Roman" w:hAnsi="Calibri" w:cs="Calibri"/>
              </w:rPr>
            </w:pPr>
            <w:r w:rsidRPr="006B0876">
              <w:rPr>
                <w:rFonts w:ascii="Calibri" w:eastAsia="Times New Roman" w:hAnsi="Calibri" w:cs="Calibri"/>
                <w:color w:val="000000"/>
              </w:rPr>
              <w:t>White Oak</w:t>
            </w:r>
          </w:p>
        </w:tc>
        <w:tc>
          <w:tcPr>
            <w:tcW w:w="4173" w:type="dxa"/>
            <w:vAlign w:val="bottom"/>
          </w:tcPr>
          <w:p w14:paraId="41C261B2"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5620 Tidwell Road, Houston, Texas 77091</w:t>
            </w:r>
          </w:p>
        </w:tc>
        <w:tc>
          <w:tcPr>
            <w:tcW w:w="1382" w:type="dxa"/>
          </w:tcPr>
          <w:p w14:paraId="22343D08" w14:textId="6E055936" w:rsidR="00CD336F" w:rsidRPr="00E43729" w:rsidRDefault="00CD336F" w:rsidP="00CD336F">
            <w:pPr>
              <w:jc w:val="center"/>
            </w:pPr>
            <w:r w:rsidRPr="003D2517">
              <w:t>1 Gbps</w:t>
            </w:r>
          </w:p>
        </w:tc>
        <w:tc>
          <w:tcPr>
            <w:tcW w:w="1396" w:type="dxa"/>
          </w:tcPr>
          <w:p w14:paraId="3DDD0BBC" w14:textId="72A715E4" w:rsidR="00CD336F" w:rsidRPr="00E43729" w:rsidRDefault="00CD336F" w:rsidP="00CD336F">
            <w:pPr>
              <w:jc w:val="center"/>
            </w:pPr>
            <w:r w:rsidRPr="00283D61">
              <w:t>5 Gbps</w:t>
            </w:r>
          </w:p>
        </w:tc>
        <w:tc>
          <w:tcPr>
            <w:tcW w:w="1350" w:type="dxa"/>
          </w:tcPr>
          <w:p w14:paraId="592AB63D" w14:textId="051EF877" w:rsidR="00CD336F" w:rsidRDefault="00CD336F" w:rsidP="00CD336F">
            <w:pPr>
              <w:jc w:val="center"/>
            </w:pPr>
            <w:r w:rsidRPr="00C72AA6">
              <w:t>10 Gbps</w:t>
            </w:r>
          </w:p>
        </w:tc>
      </w:tr>
      <w:tr w:rsidR="00CD336F" w14:paraId="60707699" w14:textId="77777777" w:rsidTr="00CD336F">
        <w:trPr>
          <w:trHeight w:val="274"/>
        </w:trPr>
        <w:tc>
          <w:tcPr>
            <w:tcW w:w="2584" w:type="dxa"/>
            <w:vAlign w:val="center"/>
          </w:tcPr>
          <w:p w14:paraId="644F613A" w14:textId="5DF9B78C" w:rsidR="00CD336F" w:rsidRPr="00836B2C" w:rsidRDefault="00242113" w:rsidP="00CD336F">
            <w:pPr>
              <w:rPr>
                <w:rFonts w:ascii="Calibri" w:eastAsia="Times New Roman" w:hAnsi="Calibri" w:cs="Calibri"/>
                <w:color w:val="000000"/>
              </w:rPr>
            </w:pPr>
            <w:r>
              <w:rPr>
                <w:rFonts w:ascii="Calibri" w:eastAsia="Times New Roman" w:hAnsi="Calibri" w:cs="Calibri"/>
                <w:color w:val="000000"/>
              </w:rPr>
              <w:t>North</w:t>
            </w:r>
            <w:r w:rsidR="00CD336F" w:rsidRPr="00836B2C">
              <w:rPr>
                <w:rFonts w:ascii="Calibri" w:eastAsia="Times New Roman" w:hAnsi="Calibri" w:cs="Calibri"/>
                <w:color w:val="000000"/>
              </w:rPr>
              <w:t>line Secondary</w:t>
            </w:r>
          </w:p>
        </w:tc>
        <w:tc>
          <w:tcPr>
            <w:tcW w:w="4173" w:type="dxa"/>
            <w:vAlign w:val="bottom"/>
          </w:tcPr>
          <w:p w14:paraId="5451E9B3" w14:textId="77777777" w:rsidR="00CD336F" w:rsidRPr="006B0876" w:rsidRDefault="00CD336F" w:rsidP="00CD336F">
            <w:pPr>
              <w:rPr>
                <w:rFonts w:ascii="Calibri" w:eastAsia="Times New Roman" w:hAnsi="Calibri" w:cs="Calibri"/>
                <w:color w:val="000000"/>
              </w:rPr>
            </w:pPr>
            <w:r w:rsidRPr="00993368">
              <w:rPr>
                <w:rFonts w:ascii="Calibri" w:eastAsia="Times New Roman" w:hAnsi="Calibri" w:cs="Calibri"/>
                <w:color w:val="000000"/>
              </w:rPr>
              <w:t>441 Little York</w:t>
            </w:r>
            <w:r>
              <w:rPr>
                <w:rFonts w:ascii="Calibri" w:eastAsia="Times New Roman" w:hAnsi="Calibri" w:cs="Calibri"/>
                <w:color w:val="000000"/>
              </w:rPr>
              <w:t>, Houston, Texas 77076</w:t>
            </w:r>
          </w:p>
        </w:tc>
        <w:tc>
          <w:tcPr>
            <w:tcW w:w="1382" w:type="dxa"/>
          </w:tcPr>
          <w:p w14:paraId="59D031CA" w14:textId="5E3C6540" w:rsidR="00CD336F" w:rsidRPr="00E43729" w:rsidRDefault="00CD336F" w:rsidP="00CD336F">
            <w:pPr>
              <w:jc w:val="center"/>
            </w:pPr>
            <w:r w:rsidRPr="003D2517">
              <w:t>1 Gbps</w:t>
            </w:r>
          </w:p>
        </w:tc>
        <w:tc>
          <w:tcPr>
            <w:tcW w:w="1396" w:type="dxa"/>
          </w:tcPr>
          <w:p w14:paraId="3A881A9D" w14:textId="0EFFBF12" w:rsidR="00CD336F" w:rsidRPr="00E43729" w:rsidRDefault="00CD336F" w:rsidP="00CD336F">
            <w:pPr>
              <w:jc w:val="center"/>
            </w:pPr>
            <w:r w:rsidRPr="00283D61">
              <w:t>5 Gbps</w:t>
            </w:r>
          </w:p>
        </w:tc>
        <w:tc>
          <w:tcPr>
            <w:tcW w:w="1350" w:type="dxa"/>
          </w:tcPr>
          <w:p w14:paraId="657F6CFD" w14:textId="6900241A" w:rsidR="00CD336F" w:rsidRDefault="00CD336F" w:rsidP="00CD336F">
            <w:pPr>
              <w:jc w:val="center"/>
            </w:pPr>
            <w:r w:rsidRPr="00C72AA6">
              <w:t>10 Gbps</w:t>
            </w:r>
          </w:p>
        </w:tc>
      </w:tr>
      <w:tr w:rsidR="00CD336F" w14:paraId="18CFECC8" w14:textId="77777777" w:rsidTr="00CD336F">
        <w:trPr>
          <w:trHeight w:val="55"/>
        </w:trPr>
        <w:tc>
          <w:tcPr>
            <w:tcW w:w="2584" w:type="dxa"/>
            <w:vAlign w:val="center"/>
          </w:tcPr>
          <w:p w14:paraId="5582AE56" w14:textId="16DBAC48" w:rsidR="00CD336F" w:rsidRPr="00836B2C" w:rsidRDefault="00242113" w:rsidP="00CD336F">
            <w:pPr>
              <w:rPr>
                <w:rFonts w:ascii="Calibri" w:eastAsia="Times New Roman" w:hAnsi="Calibri" w:cs="Calibri"/>
                <w:color w:val="000000"/>
              </w:rPr>
            </w:pPr>
            <w:r>
              <w:rPr>
                <w:rFonts w:ascii="Calibri" w:eastAsia="Times New Roman" w:hAnsi="Calibri" w:cs="Calibri"/>
                <w:color w:val="000000"/>
              </w:rPr>
              <w:t>Air</w:t>
            </w:r>
            <w:r w:rsidR="00CD336F" w:rsidRPr="00836B2C">
              <w:rPr>
                <w:rFonts w:ascii="Calibri" w:eastAsia="Times New Roman" w:hAnsi="Calibri" w:cs="Calibri"/>
                <w:color w:val="000000"/>
              </w:rPr>
              <w:t>line Elementary</w:t>
            </w:r>
          </w:p>
        </w:tc>
        <w:tc>
          <w:tcPr>
            <w:tcW w:w="4173" w:type="dxa"/>
            <w:vAlign w:val="bottom"/>
          </w:tcPr>
          <w:p w14:paraId="11670285"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5815 Airline Drive, Houston, Texas 77076</w:t>
            </w:r>
          </w:p>
        </w:tc>
        <w:tc>
          <w:tcPr>
            <w:tcW w:w="1382" w:type="dxa"/>
          </w:tcPr>
          <w:p w14:paraId="4981C2B9" w14:textId="4E05332C" w:rsidR="00CD336F" w:rsidRPr="00E43729" w:rsidRDefault="00CD336F" w:rsidP="00CD336F">
            <w:pPr>
              <w:jc w:val="center"/>
            </w:pPr>
            <w:r w:rsidRPr="003D2517">
              <w:t>1 Gbps</w:t>
            </w:r>
          </w:p>
        </w:tc>
        <w:tc>
          <w:tcPr>
            <w:tcW w:w="1396" w:type="dxa"/>
          </w:tcPr>
          <w:p w14:paraId="0285E46E" w14:textId="0451D71B" w:rsidR="00CD336F" w:rsidRPr="00E43729" w:rsidRDefault="00CD336F" w:rsidP="00CD336F">
            <w:pPr>
              <w:jc w:val="center"/>
            </w:pPr>
            <w:r w:rsidRPr="00283D61">
              <w:t>5 Gbps</w:t>
            </w:r>
          </w:p>
        </w:tc>
        <w:tc>
          <w:tcPr>
            <w:tcW w:w="1350" w:type="dxa"/>
          </w:tcPr>
          <w:p w14:paraId="37D863A9" w14:textId="59870C05" w:rsidR="00CD336F" w:rsidRDefault="00CD336F" w:rsidP="00CD336F">
            <w:pPr>
              <w:jc w:val="center"/>
            </w:pPr>
            <w:r w:rsidRPr="00C72AA6">
              <w:t>10 Gbps</w:t>
            </w:r>
          </w:p>
        </w:tc>
      </w:tr>
      <w:tr w:rsidR="00CD336F" w14:paraId="64F146FB" w14:textId="77777777" w:rsidTr="00CD336F">
        <w:trPr>
          <w:trHeight w:val="55"/>
        </w:trPr>
        <w:tc>
          <w:tcPr>
            <w:tcW w:w="2584" w:type="dxa"/>
            <w:vAlign w:val="center"/>
          </w:tcPr>
          <w:p w14:paraId="7BBB83DA" w14:textId="77777777" w:rsidR="00CD336F" w:rsidRPr="00836B2C" w:rsidRDefault="00CD336F" w:rsidP="00CD336F">
            <w:pPr>
              <w:rPr>
                <w:rFonts w:ascii="Calibri" w:eastAsia="Times New Roman" w:hAnsi="Calibri" w:cs="Calibri"/>
                <w:color w:val="000000"/>
              </w:rPr>
            </w:pPr>
            <w:proofErr w:type="spellStart"/>
            <w:r w:rsidRPr="00836B2C">
              <w:rPr>
                <w:rFonts w:ascii="Calibri" w:eastAsia="Times New Roman" w:hAnsi="Calibri" w:cs="Calibri"/>
                <w:color w:val="000000"/>
              </w:rPr>
              <w:t>Gulfton</w:t>
            </w:r>
            <w:proofErr w:type="spellEnd"/>
          </w:p>
        </w:tc>
        <w:tc>
          <w:tcPr>
            <w:tcW w:w="4173" w:type="dxa"/>
            <w:vAlign w:val="bottom"/>
          </w:tcPr>
          <w:p w14:paraId="63BE422C"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6565 De Moss Drive, Houston, Texas 77074</w:t>
            </w:r>
          </w:p>
        </w:tc>
        <w:tc>
          <w:tcPr>
            <w:tcW w:w="1382" w:type="dxa"/>
          </w:tcPr>
          <w:p w14:paraId="16F5D998" w14:textId="3889008B" w:rsidR="00CD336F" w:rsidRPr="00E43729" w:rsidRDefault="00CD336F" w:rsidP="00CD336F">
            <w:pPr>
              <w:jc w:val="center"/>
            </w:pPr>
            <w:r w:rsidRPr="003D2517">
              <w:t>1 Gbps</w:t>
            </w:r>
          </w:p>
        </w:tc>
        <w:tc>
          <w:tcPr>
            <w:tcW w:w="1396" w:type="dxa"/>
          </w:tcPr>
          <w:p w14:paraId="3ECB6174" w14:textId="52B5D7D0" w:rsidR="00CD336F" w:rsidRPr="00E43729" w:rsidRDefault="00CD336F" w:rsidP="00CD336F">
            <w:pPr>
              <w:jc w:val="center"/>
            </w:pPr>
            <w:r w:rsidRPr="00283D61">
              <w:t>5 Gbps</w:t>
            </w:r>
          </w:p>
        </w:tc>
        <w:tc>
          <w:tcPr>
            <w:tcW w:w="1350" w:type="dxa"/>
          </w:tcPr>
          <w:p w14:paraId="14FD751E" w14:textId="67B693EF" w:rsidR="00CD336F" w:rsidRDefault="00CD336F" w:rsidP="00CD336F">
            <w:pPr>
              <w:jc w:val="center"/>
            </w:pPr>
            <w:r w:rsidRPr="00C72AA6">
              <w:t>10 Gbps</w:t>
            </w:r>
          </w:p>
        </w:tc>
      </w:tr>
      <w:tr w:rsidR="00CD336F" w14:paraId="5717E52E" w14:textId="77777777" w:rsidTr="00CD336F">
        <w:trPr>
          <w:trHeight w:val="55"/>
        </w:trPr>
        <w:tc>
          <w:tcPr>
            <w:tcW w:w="2584" w:type="dxa"/>
            <w:vAlign w:val="center"/>
          </w:tcPr>
          <w:p w14:paraId="173D07DE" w14:textId="77777777" w:rsidR="00CD336F" w:rsidRPr="00836B2C" w:rsidRDefault="00CD336F" w:rsidP="00CD336F">
            <w:pPr>
              <w:rPr>
                <w:rFonts w:ascii="Calibri" w:eastAsia="Times New Roman" w:hAnsi="Calibri" w:cs="Calibri"/>
                <w:color w:val="000000"/>
              </w:rPr>
            </w:pPr>
            <w:r w:rsidRPr="00836B2C">
              <w:rPr>
                <w:rFonts w:ascii="Calibri" w:eastAsia="Times New Roman" w:hAnsi="Calibri" w:cs="Calibri"/>
              </w:rPr>
              <w:t>North Forest Elementary</w:t>
            </w:r>
          </w:p>
        </w:tc>
        <w:tc>
          <w:tcPr>
            <w:tcW w:w="4173" w:type="dxa"/>
            <w:vAlign w:val="bottom"/>
          </w:tcPr>
          <w:p w14:paraId="1B638CB8"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 xml:space="preserve">6602 Winfield Road, </w:t>
            </w:r>
            <w:proofErr w:type="spellStart"/>
            <w:r w:rsidRPr="006B0876">
              <w:rPr>
                <w:rFonts w:ascii="Calibri" w:eastAsia="Times New Roman" w:hAnsi="Calibri" w:cs="Calibri"/>
                <w:color w:val="000000"/>
              </w:rPr>
              <w:t>Bldg</w:t>
            </w:r>
            <w:proofErr w:type="spellEnd"/>
            <w:r w:rsidRPr="006B0876">
              <w:rPr>
                <w:rFonts w:ascii="Calibri" w:eastAsia="Times New Roman" w:hAnsi="Calibri" w:cs="Calibri"/>
                <w:color w:val="000000"/>
              </w:rPr>
              <w:t xml:space="preserve"> A, Houston, Texas 77050</w:t>
            </w:r>
          </w:p>
        </w:tc>
        <w:tc>
          <w:tcPr>
            <w:tcW w:w="1382" w:type="dxa"/>
          </w:tcPr>
          <w:p w14:paraId="02FAE45E" w14:textId="7AE69B00" w:rsidR="00CD336F" w:rsidRPr="00E43729" w:rsidRDefault="00CD336F" w:rsidP="00CD336F">
            <w:pPr>
              <w:jc w:val="center"/>
            </w:pPr>
            <w:r w:rsidRPr="003D2517">
              <w:t>1 Gbps</w:t>
            </w:r>
          </w:p>
        </w:tc>
        <w:tc>
          <w:tcPr>
            <w:tcW w:w="1396" w:type="dxa"/>
          </w:tcPr>
          <w:p w14:paraId="44EB762E" w14:textId="25251876" w:rsidR="00CD336F" w:rsidRPr="00E43729" w:rsidRDefault="00CD336F" w:rsidP="00CD336F">
            <w:pPr>
              <w:jc w:val="center"/>
            </w:pPr>
            <w:r w:rsidRPr="00283D61">
              <w:t>5 Gbps</w:t>
            </w:r>
          </w:p>
        </w:tc>
        <w:tc>
          <w:tcPr>
            <w:tcW w:w="1350" w:type="dxa"/>
          </w:tcPr>
          <w:p w14:paraId="551A23BE" w14:textId="1C29CA56" w:rsidR="00CD336F" w:rsidRDefault="00CD336F" w:rsidP="00CD336F">
            <w:pPr>
              <w:jc w:val="center"/>
            </w:pPr>
            <w:r w:rsidRPr="00C72AA6">
              <w:t>10 Gbps</w:t>
            </w:r>
          </w:p>
        </w:tc>
      </w:tr>
      <w:tr w:rsidR="00CD336F" w14:paraId="42D621AC" w14:textId="77777777" w:rsidTr="00CD336F">
        <w:trPr>
          <w:trHeight w:val="55"/>
        </w:trPr>
        <w:tc>
          <w:tcPr>
            <w:tcW w:w="2584" w:type="dxa"/>
            <w:vAlign w:val="center"/>
          </w:tcPr>
          <w:p w14:paraId="4ABFEB0E" w14:textId="7D7D680D" w:rsidR="00CD336F" w:rsidRPr="00836B2C" w:rsidRDefault="00930F79" w:rsidP="00CD336F">
            <w:pPr>
              <w:rPr>
                <w:rFonts w:ascii="Calibri" w:eastAsia="Times New Roman" w:hAnsi="Calibri" w:cs="Calibri"/>
              </w:rPr>
            </w:pPr>
            <w:r w:rsidRPr="00836B2C">
              <w:rPr>
                <w:rFonts w:ascii="Calibri" w:eastAsia="Times New Roman" w:hAnsi="Calibri" w:cs="Calibri"/>
                <w:color w:val="000000"/>
              </w:rPr>
              <w:t>North Forest</w:t>
            </w:r>
            <w:r>
              <w:rPr>
                <w:rFonts w:ascii="Calibri" w:eastAsia="Times New Roman" w:hAnsi="Calibri" w:cs="Calibri"/>
                <w:color w:val="000000"/>
              </w:rPr>
              <w:t xml:space="preserve"> Secondary</w:t>
            </w:r>
          </w:p>
        </w:tc>
        <w:tc>
          <w:tcPr>
            <w:tcW w:w="4173" w:type="dxa"/>
            <w:vAlign w:val="bottom"/>
          </w:tcPr>
          <w:p w14:paraId="3FA94DA8"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6602 Winfield Road, Houston, Texas 77050</w:t>
            </w:r>
          </w:p>
        </w:tc>
        <w:tc>
          <w:tcPr>
            <w:tcW w:w="1382" w:type="dxa"/>
          </w:tcPr>
          <w:p w14:paraId="05DCA2FE" w14:textId="7BD54C47" w:rsidR="00CD336F" w:rsidRPr="00E43729" w:rsidRDefault="00CD336F" w:rsidP="00CD336F">
            <w:pPr>
              <w:jc w:val="center"/>
            </w:pPr>
            <w:r w:rsidRPr="003D2517">
              <w:t>1 Gbps</w:t>
            </w:r>
          </w:p>
        </w:tc>
        <w:tc>
          <w:tcPr>
            <w:tcW w:w="1396" w:type="dxa"/>
          </w:tcPr>
          <w:p w14:paraId="1EE478D8" w14:textId="1B282ECD" w:rsidR="00CD336F" w:rsidRPr="00E43729" w:rsidRDefault="00CD336F" w:rsidP="00CD336F">
            <w:pPr>
              <w:jc w:val="center"/>
            </w:pPr>
            <w:r w:rsidRPr="00283D61">
              <w:t>5 Gbps</w:t>
            </w:r>
          </w:p>
        </w:tc>
        <w:tc>
          <w:tcPr>
            <w:tcW w:w="1350" w:type="dxa"/>
          </w:tcPr>
          <w:p w14:paraId="5D14EA24" w14:textId="6E448A05" w:rsidR="00CD336F" w:rsidRDefault="00CD336F" w:rsidP="00CD336F">
            <w:pPr>
              <w:jc w:val="center"/>
            </w:pPr>
            <w:r w:rsidRPr="00C72AA6">
              <w:t>10 Gbps</w:t>
            </w:r>
          </w:p>
        </w:tc>
      </w:tr>
      <w:tr w:rsidR="00CD336F" w14:paraId="165D1814" w14:textId="77777777" w:rsidTr="00CD336F">
        <w:trPr>
          <w:trHeight w:val="274"/>
        </w:trPr>
        <w:tc>
          <w:tcPr>
            <w:tcW w:w="2584" w:type="dxa"/>
            <w:vAlign w:val="center"/>
          </w:tcPr>
          <w:p w14:paraId="2BD69828" w14:textId="77777777" w:rsidR="00CD336F" w:rsidRPr="00836B2C" w:rsidRDefault="00CD336F" w:rsidP="00CD336F">
            <w:pPr>
              <w:rPr>
                <w:rFonts w:ascii="Calibri" w:eastAsia="Times New Roman" w:hAnsi="Calibri" w:cs="Calibri"/>
                <w:color w:val="000000"/>
              </w:rPr>
            </w:pPr>
            <w:r w:rsidRPr="00836B2C">
              <w:rPr>
                <w:rFonts w:ascii="Calibri" w:eastAsia="Times New Roman" w:hAnsi="Calibri" w:cs="Calibri"/>
                <w:color w:val="000000"/>
              </w:rPr>
              <w:t>East End Secondary</w:t>
            </w:r>
          </w:p>
        </w:tc>
        <w:tc>
          <w:tcPr>
            <w:tcW w:w="4173" w:type="dxa"/>
            <w:vAlign w:val="bottom"/>
          </w:tcPr>
          <w:p w14:paraId="6297F3BF" w14:textId="77777777" w:rsidR="00CD336F" w:rsidRPr="006B0876" w:rsidRDefault="00CD336F" w:rsidP="00CD336F">
            <w:pPr>
              <w:rPr>
                <w:rFonts w:ascii="Calibri" w:eastAsia="Times New Roman" w:hAnsi="Calibri" w:cs="Calibri"/>
                <w:color w:val="000000"/>
              </w:rPr>
            </w:pPr>
            <w:r w:rsidRPr="00F67196">
              <w:rPr>
                <w:rFonts w:ascii="Calibri" w:eastAsia="Times New Roman" w:hAnsi="Calibri" w:cs="Calibri"/>
                <w:color w:val="000000"/>
              </w:rPr>
              <w:t>8401 Lawndale St</w:t>
            </w:r>
            <w:r w:rsidRPr="006B0876">
              <w:rPr>
                <w:rFonts w:ascii="Calibri" w:eastAsia="Times New Roman" w:hAnsi="Calibri" w:cs="Calibri"/>
                <w:color w:val="000000"/>
              </w:rPr>
              <w:t>, Houston, TX 77012</w:t>
            </w:r>
          </w:p>
        </w:tc>
        <w:tc>
          <w:tcPr>
            <w:tcW w:w="1382" w:type="dxa"/>
          </w:tcPr>
          <w:p w14:paraId="59680AB5" w14:textId="40DC349B" w:rsidR="00CD336F" w:rsidRPr="00E43729" w:rsidRDefault="00CD336F" w:rsidP="00CD336F">
            <w:pPr>
              <w:jc w:val="center"/>
            </w:pPr>
            <w:r w:rsidRPr="003D2517">
              <w:t>1 Gbps</w:t>
            </w:r>
          </w:p>
        </w:tc>
        <w:tc>
          <w:tcPr>
            <w:tcW w:w="1396" w:type="dxa"/>
          </w:tcPr>
          <w:p w14:paraId="71772582" w14:textId="6F983055" w:rsidR="00CD336F" w:rsidRPr="00E43729" w:rsidRDefault="00CD336F" w:rsidP="00CD336F">
            <w:pPr>
              <w:jc w:val="center"/>
            </w:pPr>
            <w:r w:rsidRPr="00283D61">
              <w:t>5 Gbps</w:t>
            </w:r>
          </w:p>
        </w:tc>
        <w:tc>
          <w:tcPr>
            <w:tcW w:w="1350" w:type="dxa"/>
          </w:tcPr>
          <w:p w14:paraId="7A6ECF95" w14:textId="1B19A431" w:rsidR="00CD336F" w:rsidRDefault="00CD336F" w:rsidP="00CD336F">
            <w:pPr>
              <w:jc w:val="center"/>
            </w:pPr>
            <w:r w:rsidRPr="00C72AA6">
              <w:t>10 Gbps</w:t>
            </w:r>
          </w:p>
        </w:tc>
      </w:tr>
      <w:tr w:rsidR="00CD336F" w14:paraId="5D4B944E" w14:textId="77777777" w:rsidTr="00CD336F">
        <w:trPr>
          <w:trHeight w:val="264"/>
        </w:trPr>
        <w:tc>
          <w:tcPr>
            <w:tcW w:w="2584" w:type="dxa"/>
            <w:vAlign w:val="center"/>
          </w:tcPr>
          <w:p w14:paraId="0C71662D" w14:textId="570F9C86" w:rsidR="00CD336F" w:rsidRPr="00836B2C" w:rsidRDefault="00CD336F" w:rsidP="00CD336F">
            <w:pPr>
              <w:rPr>
                <w:rFonts w:ascii="Calibri" w:eastAsia="Times New Roman" w:hAnsi="Calibri" w:cs="Calibri"/>
                <w:color w:val="000000"/>
              </w:rPr>
            </w:pPr>
            <w:r w:rsidRPr="00836B2C">
              <w:rPr>
                <w:rFonts w:ascii="Calibri" w:eastAsia="Times New Roman" w:hAnsi="Calibri" w:cs="Calibri"/>
                <w:color w:val="000000"/>
              </w:rPr>
              <w:t>East End Elementary</w:t>
            </w:r>
          </w:p>
        </w:tc>
        <w:tc>
          <w:tcPr>
            <w:tcW w:w="4173" w:type="dxa"/>
            <w:vAlign w:val="bottom"/>
          </w:tcPr>
          <w:p w14:paraId="75697495"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8329 Lawndale St, Houston, TX 77012</w:t>
            </w:r>
          </w:p>
        </w:tc>
        <w:tc>
          <w:tcPr>
            <w:tcW w:w="1382" w:type="dxa"/>
          </w:tcPr>
          <w:p w14:paraId="2E82CE91" w14:textId="256F3A42" w:rsidR="00CD336F" w:rsidRPr="00E43729" w:rsidRDefault="00CD336F" w:rsidP="00CD336F">
            <w:pPr>
              <w:jc w:val="center"/>
            </w:pPr>
            <w:r w:rsidRPr="003370EE">
              <w:t>1 Gbps</w:t>
            </w:r>
          </w:p>
        </w:tc>
        <w:tc>
          <w:tcPr>
            <w:tcW w:w="1396" w:type="dxa"/>
          </w:tcPr>
          <w:p w14:paraId="732EC5D9" w14:textId="3C83201F" w:rsidR="00CD336F" w:rsidRPr="00E43729" w:rsidRDefault="00CD336F" w:rsidP="00CD336F">
            <w:pPr>
              <w:jc w:val="center"/>
            </w:pPr>
            <w:r w:rsidRPr="00283D61">
              <w:t>5 Gbps</w:t>
            </w:r>
          </w:p>
        </w:tc>
        <w:tc>
          <w:tcPr>
            <w:tcW w:w="1350" w:type="dxa"/>
          </w:tcPr>
          <w:p w14:paraId="69AA66B9" w14:textId="7F1FB6F7" w:rsidR="00CD336F" w:rsidRDefault="00CD336F" w:rsidP="00CD336F">
            <w:pPr>
              <w:jc w:val="center"/>
            </w:pPr>
            <w:r w:rsidRPr="00C72AA6">
              <w:t>10 Gbps</w:t>
            </w:r>
          </w:p>
        </w:tc>
      </w:tr>
      <w:tr w:rsidR="00CD336F" w14:paraId="002A8A74" w14:textId="77777777" w:rsidTr="00CD336F">
        <w:trPr>
          <w:trHeight w:val="55"/>
        </w:trPr>
        <w:tc>
          <w:tcPr>
            <w:tcW w:w="2584" w:type="dxa"/>
            <w:vAlign w:val="center"/>
          </w:tcPr>
          <w:p w14:paraId="37855D9C" w14:textId="77777777" w:rsidR="00CD336F" w:rsidRPr="00836B2C" w:rsidRDefault="00CD336F" w:rsidP="00CD336F">
            <w:pPr>
              <w:rPr>
                <w:rFonts w:ascii="Calibri" w:eastAsia="Times New Roman" w:hAnsi="Calibri" w:cs="Calibri"/>
                <w:color w:val="000000"/>
              </w:rPr>
            </w:pPr>
            <w:r w:rsidRPr="00836B2C">
              <w:rPr>
                <w:rFonts w:ascii="Calibri" w:eastAsia="Times New Roman" w:hAnsi="Calibri" w:cs="Calibri"/>
                <w:color w:val="000000"/>
              </w:rPr>
              <w:t>Hobby</w:t>
            </w:r>
          </w:p>
        </w:tc>
        <w:tc>
          <w:tcPr>
            <w:tcW w:w="4173" w:type="dxa"/>
            <w:vAlign w:val="bottom"/>
          </w:tcPr>
          <w:p w14:paraId="12650B62"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8787 Tallyho Street, Houston, Texas 77061</w:t>
            </w:r>
          </w:p>
        </w:tc>
        <w:tc>
          <w:tcPr>
            <w:tcW w:w="1382" w:type="dxa"/>
          </w:tcPr>
          <w:p w14:paraId="192CC4F0" w14:textId="371AB657" w:rsidR="00CD336F" w:rsidRPr="00E43729" w:rsidRDefault="00CD336F" w:rsidP="00CD336F">
            <w:pPr>
              <w:jc w:val="center"/>
            </w:pPr>
            <w:r w:rsidRPr="003370EE">
              <w:t>1 Gbps</w:t>
            </w:r>
          </w:p>
        </w:tc>
        <w:tc>
          <w:tcPr>
            <w:tcW w:w="1396" w:type="dxa"/>
          </w:tcPr>
          <w:p w14:paraId="19F72C15" w14:textId="0D7406D4" w:rsidR="00CD336F" w:rsidRPr="00E43729" w:rsidRDefault="00CD336F" w:rsidP="00CD336F">
            <w:pPr>
              <w:jc w:val="center"/>
            </w:pPr>
            <w:r w:rsidRPr="00283D61">
              <w:t>5 Gbps</w:t>
            </w:r>
          </w:p>
        </w:tc>
        <w:tc>
          <w:tcPr>
            <w:tcW w:w="1350" w:type="dxa"/>
          </w:tcPr>
          <w:p w14:paraId="49725CAF" w14:textId="6D05F480" w:rsidR="00CD336F" w:rsidRDefault="00CD336F" w:rsidP="00CD336F">
            <w:pPr>
              <w:jc w:val="center"/>
            </w:pPr>
            <w:r w:rsidRPr="00C72AA6">
              <w:t>10 Gbps</w:t>
            </w:r>
          </w:p>
        </w:tc>
      </w:tr>
      <w:tr w:rsidR="00CD336F" w14:paraId="71467759" w14:textId="77777777" w:rsidTr="00CD336F">
        <w:trPr>
          <w:trHeight w:val="55"/>
        </w:trPr>
        <w:tc>
          <w:tcPr>
            <w:tcW w:w="2584" w:type="dxa"/>
            <w:vAlign w:val="center"/>
          </w:tcPr>
          <w:p w14:paraId="7B0E3763"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Brays Oaks</w:t>
            </w:r>
          </w:p>
        </w:tc>
        <w:tc>
          <w:tcPr>
            <w:tcW w:w="4173" w:type="dxa"/>
            <w:vAlign w:val="bottom"/>
          </w:tcPr>
          <w:p w14:paraId="6B6FDA75"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color w:val="000000"/>
              </w:rPr>
              <w:t xml:space="preserve">9000 West </w:t>
            </w:r>
            <w:proofErr w:type="spellStart"/>
            <w:r w:rsidRPr="006B0876">
              <w:rPr>
                <w:rFonts w:ascii="Calibri" w:eastAsia="Times New Roman" w:hAnsi="Calibri" w:cs="Calibri"/>
                <w:color w:val="000000"/>
              </w:rPr>
              <w:t>Bellfort</w:t>
            </w:r>
            <w:proofErr w:type="spellEnd"/>
            <w:r w:rsidRPr="006B0876">
              <w:rPr>
                <w:rFonts w:ascii="Calibri" w:eastAsia="Times New Roman" w:hAnsi="Calibri" w:cs="Calibri"/>
                <w:color w:val="000000"/>
              </w:rPr>
              <w:t>, Houston, Texas 77031</w:t>
            </w:r>
          </w:p>
        </w:tc>
        <w:tc>
          <w:tcPr>
            <w:tcW w:w="1382" w:type="dxa"/>
          </w:tcPr>
          <w:p w14:paraId="4D6BA7F4" w14:textId="16D20292" w:rsidR="00CD336F" w:rsidRPr="00E43729" w:rsidRDefault="00CD336F" w:rsidP="00CD336F">
            <w:pPr>
              <w:jc w:val="center"/>
            </w:pPr>
            <w:r w:rsidRPr="003370EE">
              <w:t>1 Gbps</w:t>
            </w:r>
          </w:p>
        </w:tc>
        <w:tc>
          <w:tcPr>
            <w:tcW w:w="1396" w:type="dxa"/>
          </w:tcPr>
          <w:p w14:paraId="1A4E7C86" w14:textId="3736A405" w:rsidR="00CD336F" w:rsidRPr="00E43729" w:rsidRDefault="00CD336F" w:rsidP="00CD336F">
            <w:pPr>
              <w:jc w:val="center"/>
            </w:pPr>
            <w:r w:rsidRPr="00283D61">
              <w:t>5 Gbps</w:t>
            </w:r>
          </w:p>
        </w:tc>
        <w:tc>
          <w:tcPr>
            <w:tcW w:w="1350" w:type="dxa"/>
          </w:tcPr>
          <w:p w14:paraId="3D1CAEB8" w14:textId="46AE1E73" w:rsidR="00CD336F" w:rsidRDefault="00CD336F" w:rsidP="00CD336F">
            <w:pPr>
              <w:jc w:val="center"/>
            </w:pPr>
            <w:r w:rsidRPr="00C72AA6">
              <w:t>10 Gbps</w:t>
            </w:r>
          </w:p>
        </w:tc>
      </w:tr>
      <w:tr w:rsidR="00CD336F" w14:paraId="26FE55EB" w14:textId="77777777" w:rsidTr="00CD336F">
        <w:trPr>
          <w:trHeight w:val="60"/>
        </w:trPr>
        <w:tc>
          <w:tcPr>
            <w:tcW w:w="2584" w:type="dxa"/>
            <w:vAlign w:val="center"/>
          </w:tcPr>
          <w:p w14:paraId="375D9296" w14:textId="77777777" w:rsidR="00CD336F" w:rsidRPr="006B0876" w:rsidRDefault="00CD336F" w:rsidP="00CD336F">
            <w:pPr>
              <w:rPr>
                <w:rFonts w:ascii="Calibri" w:eastAsia="Times New Roman" w:hAnsi="Calibri" w:cs="Calibri"/>
                <w:color w:val="000000"/>
              </w:rPr>
            </w:pPr>
            <w:r w:rsidRPr="006B0876">
              <w:rPr>
                <w:rFonts w:ascii="Calibri" w:eastAsia="Times New Roman" w:hAnsi="Calibri" w:cs="Calibri"/>
              </w:rPr>
              <w:t>Data Center</w:t>
            </w:r>
          </w:p>
        </w:tc>
        <w:tc>
          <w:tcPr>
            <w:tcW w:w="4173" w:type="dxa"/>
            <w:vAlign w:val="bottom"/>
          </w:tcPr>
          <w:p w14:paraId="1BCD44B5" w14:textId="77777777" w:rsidR="00CD336F" w:rsidRPr="006B0876" w:rsidRDefault="00CD336F" w:rsidP="00CD336F">
            <w:pPr>
              <w:rPr>
                <w:rFonts w:ascii="Calibri" w:eastAsia="Times New Roman" w:hAnsi="Calibri" w:cs="Calibri"/>
                <w:color w:val="000000"/>
              </w:rPr>
            </w:pPr>
            <w:r>
              <w:rPr>
                <w:rFonts w:ascii="Calibri" w:eastAsia="Times New Roman" w:hAnsi="Calibri" w:cs="Calibri"/>
                <w:color w:val="000000"/>
              </w:rPr>
              <w:t xml:space="preserve">7210 Ardmore Street, </w:t>
            </w:r>
            <w:r w:rsidRPr="006B0876">
              <w:rPr>
                <w:rFonts w:ascii="Calibri" w:eastAsia="Times New Roman" w:hAnsi="Calibri" w:cs="Calibri"/>
                <w:color w:val="000000"/>
              </w:rPr>
              <w:t>Houston, TX 77002</w:t>
            </w:r>
          </w:p>
        </w:tc>
        <w:tc>
          <w:tcPr>
            <w:tcW w:w="1382" w:type="dxa"/>
          </w:tcPr>
          <w:p w14:paraId="698B0E73" w14:textId="477926F2" w:rsidR="00CD336F" w:rsidRPr="00E43729" w:rsidRDefault="00CD336F" w:rsidP="00CD336F">
            <w:pPr>
              <w:jc w:val="center"/>
            </w:pPr>
            <w:r w:rsidRPr="003370EE">
              <w:t>1</w:t>
            </w:r>
            <w:r w:rsidR="00B33AFD">
              <w:t>0</w:t>
            </w:r>
            <w:r w:rsidRPr="003370EE">
              <w:t xml:space="preserve"> Gbps</w:t>
            </w:r>
          </w:p>
        </w:tc>
        <w:tc>
          <w:tcPr>
            <w:tcW w:w="1396" w:type="dxa"/>
          </w:tcPr>
          <w:p w14:paraId="62D50F71" w14:textId="5654761B" w:rsidR="00CD336F" w:rsidRPr="00E43729" w:rsidRDefault="003A042E" w:rsidP="00CD336F">
            <w:pPr>
              <w:jc w:val="center"/>
            </w:pPr>
            <w:r>
              <w:t>2</w:t>
            </w:r>
            <w:r w:rsidR="00B33AFD">
              <w:t>0</w:t>
            </w:r>
            <w:r w:rsidR="00B33AFD" w:rsidRPr="003370EE">
              <w:t xml:space="preserve"> Gbps</w:t>
            </w:r>
          </w:p>
        </w:tc>
        <w:tc>
          <w:tcPr>
            <w:tcW w:w="1350" w:type="dxa"/>
          </w:tcPr>
          <w:p w14:paraId="2CD1A0C8" w14:textId="4F64E9B5" w:rsidR="00CD336F" w:rsidRDefault="003A042E" w:rsidP="00CD336F">
            <w:pPr>
              <w:jc w:val="center"/>
            </w:pPr>
            <w:r>
              <w:t>40</w:t>
            </w:r>
            <w:r w:rsidR="00B33AFD" w:rsidRPr="003370EE">
              <w:t xml:space="preserve"> Gbps</w:t>
            </w:r>
          </w:p>
        </w:tc>
      </w:tr>
    </w:tbl>
    <w:p w14:paraId="52F5EFFC" w14:textId="0F5494C0" w:rsidR="2698E187" w:rsidRDefault="2698E187" w:rsidP="2698E187">
      <w:pPr>
        <w:rPr>
          <w:rFonts w:ascii="Calibri" w:eastAsia="Times New Roman" w:hAnsi="Calibri" w:cs="Calibri"/>
          <w:color w:val="000000" w:themeColor="text1"/>
        </w:rPr>
      </w:pPr>
    </w:p>
    <w:p w14:paraId="3ADB3FA0" w14:textId="5B99D8D1" w:rsidR="0010381C" w:rsidRDefault="0010381C" w:rsidP="00D15202">
      <w:pPr>
        <w:rPr>
          <w:rFonts w:ascii="Calibri" w:eastAsia="Calibri" w:hAnsi="Calibri" w:cs="Calibri"/>
          <w:highlight w:val="yellow"/>
        </w:rPr>
      </w:pPr>
    </w:p>
    <w:sectPr w:rsidR="0010381C" w:rsidSect="007B68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2BF7" w14:textId="77777777" w:rsidR="00B712A7" w:rsidRDefault="00B712A7" w:rsidP="00027253">
      <w:pPr>
        <w:spacing w:after="0" w:line="240" w:lineRule="auto"/>
      </w:pPr>
      <w:r>
        <w:separator/>
      </w:r>
    </w:p>
  </w:endnote>
  <w:endnote w:type="continuationSeparator" w:id="0">
    <w:p w14:paraId="749F11B4" w14:textId="77777777" w:rsidR="00B712A7" w:rsidRDefault="00B712A7" w:rsidP="00027253">
      <w:pPr>
        <w:spacing w:after="0" w:line="240" w:lineRule="auto"/>
      </w:pPr>
      <w:r>
        <w:continuationSeparator/>
      </w:r>
    </w:p>
  </w:endnote>
  <w:endnote w:type="continuationNotice" w:id="1">
    <w:p w14:paraId="14CBC118" w14:textId="77777777" w:rsidR="00B712A7" w:rsidRDefault="00B71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063F" w14:textId="77777777" w:rsidR="00B712A7" w:rsidRDefault="00B712A7" w:rsidP="00027253">
      <w:pPr>
        <w:spacing w:after="0" w:line="240" w:lineRule="auto"/>
      </w:pPr>
      <w:r>
        <w:separator/>
      </w:r>
    </w:p>
  </w:footnote>
  <w:footnote w:type="continuationSeparator" w:id="0">
    <w:p w14:paraId="0C49D20A" w14:textId="77777777" w:rsidR="00B712A7" w:rsidRDefault="00B712A7" w:rsidP="00027253">
      <w:pPr>
        <w:spacing w:after="0" w:line="240" w:lineRule="auto"/>
      </w:pPr>
      <w:r>
        <w:continuationSeparator/>
      </w:r>
    </w:p>
  </w:footnote>
  <w:footnote w:type="continuationNotice" w:id="1">
    <w:p w14:paraId="6080592F" w14:textId="77777777" w:rsidR="00B712A7" w:rsidRDefault="00B712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818C4"/>
    <w:multiLevelType w:val="hybridMultilevel"/>
    <w:tmpl w:val="750E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E603B"/>
    <w:multiLevelType w:val="hybridMultilevel"/>
    <w:tmpl w:val="2112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B2810"/>
    <w:multiLevelType w:val="hybridMultilevel"/>
    <w:tmpl w:val="9F8E9E1E"/>
    <w:lvl w:ilvl="0" w:tplc="9378F988">
      <w:start w:val="5545"/>
      <w:numFmt w:val="decimal"/>
      <w:lvlText w:val="%1"/>
      <w:lvlJc w:val="left"/>
      <w:pPr>
        <w:ind w:left="1520" w:hanging="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EB0F19"/>
    <w:multiLevelType w:val="hybridMultilevel"/>
    <w:tmpl w:val="BF34B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36220"/>
    <w:multiLevelType w:val="hybridMultilevel"/>
    <w:tmpl w:val="AEA21D2A"/>
    <w:lvl w:ilvl="0" w:tplc="5516BB5A">
      <w:start w:val="1"/>
      <w:numFmt w:val="decimal"/>
      <w:lvlText w:val="%1."/>
      <w:lvlJc w:val="left"/>
      <w:pPr>
        <w:keepNext/>
        <w:keepLines/>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F2A9E"/>
    <w:multiLevelType w:val="hybridMultilevel"/>
    <w:tmpl w:val="74D0F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E425F0"/>
    <w:multiLevelType w:val="hybridMultilevel"/>
    <w:tmpl w:val="53E8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2"/>
    <w:rsid w:val="00027253"/>
    <w:rsid w:val="000C5D34"/>
    <w:rsid w:val="000C68A3"/>
    <w:rsid w:val="000C7F58"/>
    <w:rsid w:val="001001FE"/>
    <w:rsid w:val="0010381C"/>
    <w:rsid w:val="00136B0A"/>
    <w:rsid w:val="00155909"/>
    <w:rsid w:val="001B5300"/>
    <w:rsid w:val="001C37EF"/>
    <w:rsid w:val="001C582D"/>
    <w:rsid w:val="001D5254"/>
    <w:rsid w:val="001F4BD5"/>
    <w:rsid w:val="002020F3"/>
    <w:rsid w:val="00205FCE"/>
    <w:rsid w:val="002319D6"/>
    <w:rsid w:val="00240C80"/>
    <w:rsid w:val="00242113"/>
    <w:rsid w:val="00242609"/>
    <w:rsid w:val="00261D57"/>
    <w:rsid w:val="002D2E2F"/>
    <w:rsid w:val="00300EB0"/>
    <w:rsid w:val="003329DB"/>
    <w:rsid w:val="00353D2B"/>
    <w:rsid w:val="00395437"/>
    <w:rsid w:val="003A042E"/>
    <w:rsid w:val="003E315E"/>
    <w:rsid w:val="003F0FF7"/>
    <w:rsid w:val="003F626B"/>
    <w:rsid w:val="004015EA"/>
    <w:rsid w:val="0042297B"/>
    <w:rsid w:val="00426730"/>
    <w:rsid w:val="004350BD"/>
    <w:rsid w:val="004376B9"/>
    <w:rsid w:val="00441549"/>
    <w:rsid w:val="004532F5"/>
    <w:rsid w:val="004B1C47"/>
    <w:rsid w:val="004C32B6"/>
    <w:rsid w:val="004E175C"/>
    <w:rsid w:val="004E2DA7"/>
    <w:rsid w:val="004F5664"/>
    <w:rsid w:val="005309F2"/>
    <w:rsid w:val="00545BD9"/>
    <w:rsid w:val="00571CDA"/>
    <w:rsid w:val="00583017"/>
    <w:rsid w:val="005A2E10"/>
    <w:rsid w:val="005E2B48"/>
    <w:rsid w:val="005E6524"/>
    <w:rsid w:val="005F6D20"/>
    <w:rsid w:val="00604E53"/>
    <w:rsid w:val="00622BD5"/>
    <w:rsid w:val="00626C43"/>
    <w:rsid w:val="00630DAC"/>
    <w:rsid w:val="00630E8D"/>
    <w:rsid w:val="00635FFB"/>
    <w:rsid w:val="00650696"/>
    <w:rsid w:val="0065453C"/>
    <w:rsid w:val="00656F62"/>
    <w:rsid w:val="0066288B"/>
    <w:rsid w:val="006668CD"/>
    <w:rsid w:val="0067543B"/>
    <w:rsid w:val="0068576D"/>
    <w:rsid w:val="00697BCA"/>
    <w:rsid w:val="006A7904"/>
    <w:rsid w:val="006D096B"/>
    <w:rsid w:val="006D46B6"/>
    <w:rsid w:val="006E60FE"/>
    <w:rsid w:val="006E73CF"/>
    <w:rsid w:val="00704161"/>
    <w:rsid w:val="00720724"/>
    <w:rsid w:val="00737804"/>
    <w:rsid w:val="007456A8"/>
    <w:rsid w:val="007545E2"/>
    <w:rsid w:val="00774124"/>
    <w:rsid w:val="00787802"/>
    <w:rsid w:val="00791615"/>
    <w:rsid w:val="0079748D"/>
    <w:rsid w:val="007B689E"/>
    <w:rsid w:val="007C15AB"/>
    <w:rsid w:val="00801662"/>
    <w:rsid w:val="00816E75"/>
    <w:rsid w:val="00824632"/>
    <w:rsid w:val="00850722"/>
    <w:rsid w:val="00884913"/>
    <w:rsid w:val="00885D52"/>
    <w:rsid w:val="00895375"/>
    <w:rsid w:val="008C13A0"/>
    <w:rsid w:val="008D2971"/>
    <w:rsid w:val="008D62ED"/>
    <w:rsid w:val="008E5C47"/>
    <w:rsid w:val="009127F3"/>
    <w:rsid w:val="00916305"/>
    <w:rsid w:val="009225F6"/>
    <w:rsid w:val="00930F79"/>
    <w:rsid w:val="009B6654"/>
    <w:rsid w:val="009C5759"/>
    <w:rsid w:val="009F3D79"/>
    <w:rsid w:val="009F679D"/>
    <w:rsid w:val="00A11578"/>
    <w:rsid w:val="00A14ECF"/>
    <w:rsid w:val="00A2135D"/>
    <w:rsid w:val="00A22BB8"/>
    <w:rsid w:val="00A33F12"/>
    <w:rsid w:val="00A646B3"/>
    <w:rsid w:val="00A74875"/>
    <w:rsid w:val="00A83C3E"/>
    <w:rsid w:val="00AB02B2"/>
    <w:rsid w:val="00AB7906"/>
    <w:rsid w:val="00AC1064"/>
    <w:rsid w:val="00AE6381"/>
    <w:rsid w:val="00B20548"/>
    <w:rsid w:val="00B33AFD"/>
    <w:rsid w:val="00B712A7"/>
    <w:rsid w:val="00BA0FDE"/>
    <w:rsid w:val="00BB34C5"/>
    <w:rsid w:val="00BF2A38"/>
    <w:rsid w:val="00BF6164"/>
    <w:rsid w:val="00BF6DD7"/>
    <w:rsid w:val="00C07FD2"/>
    <w:rsid w:val="00C17E75"/>
    <w:rsid w:val="00C343F9"/>
    <w:rsid w:val="00C53D74"/>
    <w:rsid w:val="00C80964"/>
    <w:rsid w:val="00C918CD"/>
    <w:rsid w:val="00CB62ED"/>
    <w:rsid w:val="00CC51F4"/>
    <w:rsid w:val="00CC7C5C"/>
    <w:rsid w:val="00CD336F"/>
    <w:rsid w:val="00CE1C57"/>
    <w:rsid w:val="00CE4B4B"/>
    <w:rsid w:val="00D15202"/>
    <w:rsid w:val="00D34C3C"/>
    <w:rsid w:val="00D478C8"/>
    <w:rsid w:val="00D61174"/>
    <w:rsid w:val="00D72876"/>
    <w:rsid w:val="00D87E2E"/>
    <w:rsid w:val="00DC1169"/>
    <w:rsid w:val="00DD4480"/>
    <w:rsid w:val="00E07BEB"/>
    <w:rsid w:val="00E25DA0"/>
    <w:rsid w:val="00E43DAB"/>
    <w:rsid w:val="00E46C00"/>
    <w:rsid w:val="00EA719D"/>
    <w:rsid w:val="00EC3D8C"/>
    <w:rsid w:val="00EC68DA"/>
    <w:rsid w:val="00EC7F41"/>
    <w:rsid w:val="00ED20ED"/>
    <w:rsid w:val="00ED56DD"/>
    <w:rsid w:val="00ED6EBB"/>
    <w:rsid w:val="00F07B03"/>
    <w:rsid w:val="00F17A28"/>
    <w:rsid w:val="00F8212C"/>
    <w:rsid w:val="00F90BF0"/>
    <w:rsid w:val="00FA7175"/>
    <w:rsid w:val="00FD4C7C"/>
    <w:rsid w:val="00FE47FD"/>
    <w:rsid w:val="07068E6B"/>
    <w:rsid w:val="0CB79F61"/>
    <w:rsid w:val="1306966F"/>
    <w:rsid w:val="17565082"/>
    <w:rsid w:val="1C9841A6"/>
    <w:rsid w:val="217FD8F5"/>
    <w:rsid w:val="2698E187"/>
    <w:rsid w:val="32E6F67F"/>
    <w:rsid w:val="411304AD"/>
    <w:rsid w:val="44A71BC2"/>
    <w:rsid w:val="4990D54C"/>
    <w:rsid w:val="517473F6"/>
    <w:rsid w:val="51E01437"/>
    <w:rsid w:val="531CCBFF"/>
    <w:rsid w:val="54B5F4B8"/>
    <w:rsid w:val="5535A253"/>
    <w:rsid w:val="5827B4AE"/>
    <w:rsid w:val="6881D348"/>
    <w:rsid w:val="6A0E7E7F"/>
    <w:rsid w:val="6A4303E5"/>
    <w:rsid w:val="6B84572C"/>
    <w:rsid w:val="6E40B531"/>
    <w:rsid w:val="71081B3E"/>
    <w:rsid w:val="78F219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3DC2"/>
  <w15:chartTrackingRefBased/>
  <w15:docId w15:val="{4164AD74-DCC6-4AC8-8CA2-009EE940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07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5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2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520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15202"/>
    <w:pPr>
      <w:spacing w:after="0" w:line="240" w:lineRule="auto"/>
    </w:pPr>
  </w:style>
  <w:style w:type="paragraph" w:styleId="ListParagraph">
    <w:name w:val="List Paragraph"/>
    <w:basedOn w:val="Normal"/>
    <w:uiPriority w:val="34"/>
    <w:qFormat/>
    <w:rsid w:val="00D15202"/>
    <w:pPr>
      <w:ind w:left="720"/>
      <w:contextualSpacing/>
    </w:pPr>
  </w:style>
  <w:style w:type="character" w:customStyle="1" w:styleId="Heading2Char">
    <w:name w:val="Heading 2 Char"/>
    <w:basedOn w:val="DefaultParagraphFont"/>
    <w:link w:val="Heading2"/>
    <w:uiPriority w:val="9"/>
    <w:rsid w:val="0072072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2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A7487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semiHidden/>
    <w:rsid w:val="00A74875"/>
    <w:rPr>
      <w:rFonts w:ascii="Calibri" w:eastAsia="Calibri" w:hAnsi="Calibri" w:cs="Calibri"/>
    </w:rPr>
  </w:style>
  <w:style w:type="paragraph" w:customStyle="1" w:styleId="TableParagraph">
    <w:name w:val="Table Paragraph"/>
    <w:basedOn w:val="Normal"/>
    <w:uiPriority w:val="1"/>
    <w:qFormat/>
    <w:rsid w:val="00A74875"/>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semiHidden/>
    <w:unhideWhenUsed/>
    <w:rsid w:val="000272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253"/>
  </w:style>
  <w:style w:type="paragraph" w:styleId="Footer">
    <w:name w:val="footer"/>
    <w:basedOn w:val="Normal"/>
    <w:link w:val="FooterChar"/>
    <w:uiPriority w:val="99"/>
    <w:semiHidden/>
    <w:unhideWhenUsed/>
    <w:rsid w:val="000272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253"/>
  </w:style>
  <w:style w:type="character" w:styleId="Hyperlink">
    <w:name w:val="Hyperlink"/>
    <w:basedOn w:val="DefaultParagraphFont"/>
    <w:uiPriority w:val="99"/>
    <w:unhideWhenUsed/>
    <w:rsid w:val="00C17E75"/>
    <w:rPr>
      <w:color w:val="0563C1" w:themeColor="hyperlink"/>
      <w:u w:val="single"/>
    </w:rPr>
  </w:style>
  <w:style w:type="character" w:styleId="UnresolvedMention">
    <w:name w:val="Unresolved Mention"/>
    <w:basedOn w:val="DefaultParagraphFont"/>
    <w:uiPriority w:val="99"/>
    <w:semiHidden/>
    <w:unhideWhenUsed/>
    <w:rsid w:val="00C1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esprep.org/fs/pages/40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ll@csmcentral.com" TargetMode="External"/><Relationship Id="rId5" Type="http://schemas.openxmlformats.org/officeDocument/2006/relationships/styles" Target="styles.xml"/><Relationship Id="rId10" Type="http://schemas.openxmlformats.org/officeDocument/2006/relationships/hyperlink" Target="mailto:Amber.Muniz@yespre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B9525B9F40AD4A935877866E95B74C" ma:contentTypeVersion="12" ma:contentTypeDescription="Create a new document." ma:contentTypeScope="" ma:versionID="c52e9ee1281bd8ae98ed9c0604d8032f">
  <xsd:schema xmlns:xsd="http://www.w3.org/2001/XMLSchema" xmlns:xs="http://www.w3.org/2001/XMLSchema" xmlns:p="http://schemas.microsoft.com/office/2006/metadata/properties" xmlns:ns2="613a852f-7db4-49f8-82d9-14201363954d" xmlns:ns3="f9173594-3daa-480c-b657-dd2edb8a5ef7" targetNamespace="http://schemas.microsoft.com/office/2006/metadata/properties" ma:root="true" ma:fieldsID="cf6ec2dcd62bbcc2496e2603cbd5222b" ns2:_="" ns3:_="">
    <xsd:import namespace="613a852f-7db4-49f8-82d9-14201363954d"/>
    <xsd:import namespace="f9173594-3daa-480c-b657-dd2edb8a5e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852f-7db4-49f8-82d9-1420136395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3594-3daa-480c-b657-dd2edb8a5e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A331D-E70A-430D-A251-BE0B03048E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2C4244-9EC3-432D-AF98-8FE5E1C21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852f-7db4-49f8-82d9-14201363954d"/>
    <ds:schemaRef ds:uri="f9173594-3daa-480c-b657-dd2edb8a5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7A51C-B5CF-41FA-BF26-3F292F186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Muniz, Amber</dc:creator>
  <cp:keywords/>
  <dc:description/>
  <cp:lastModifiedBy>Muniz, Amber</cp:lastModifiedBy>
  <cp:revision>2</cp:revision>
  <dcterms:created xsi:type="dcterms:W3CDTF">2022-01-25T19:36:00Z</dcterms:created>
  <dcterms:modified xsi:type="dcterms:W3CDTF">2022-01-25T19:36:00Z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0x01010019B9525B9F40AD4A935877866E95B74C</vt:lpwstr>
  </property>
</Properties>
</file>